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4111" w:rsidRPr="00FB49B5" w:rsidRDefault="00D35D87" w:rsidP="003C0BAE">
      <w:pPr>
        <w:rPr>
          <w:rFonts w:ascii="Times New Roman" w:hAnsi="Times New Roman" w:cs="Times New Roman"/>
          <w:b/>
          <w:sz w:val="24"/>
          <w:szCs w:val="24"/>
        </w:rPr>
      </w:pPr>
      <w:r w:rsidRPr="00FB49B5">
        <w:rPr>
          <w:rFonts w:ascii="Times New Roman" w:hAnsi="Times New Roman" w:cs="Times New Roman"/>
          <w:b/>
          <w:sz w:val="24"/>
          <w:szCs w:val="24"/>
        </w:rPr>
        <w:t>IZVJEŠTAJ O</w:t>
      </w:r>
      <w:r w:rsidR="001E4B8B" w:rsidRPr="00FB49B5">
        <w:rPr>
          <w:rFonts w:ascii="Times New Roman" w:hAnsi="Times New Roman" w:cs="Times New Roman"/>
          <w:b/>
          <w:sz w:val="24"/>
          <w:szCs w:val="24"/>
        </w:rPr>
        <w:t xml:space="preserve"> KORIŠTENJU </w:t>
      </w:r>
      <w:r w:rsidR="00BA1404" w:rsidRPr="00FB49B5">
        <w:rPr>
          <w:rFonts w:ascii="Times New Roman" w:hAnsi="Times New Roman" w:cs="Times New Roman"/>
          <w:b/>
          <w:sz w:val="24"/>
          <w:szCs w:val="24"/>
        </w:rPr>
        <w:t xml:space="preserve">SREDSTAVA FONDOVA EUROPSKE UNIJE </w:t>
      </w:r>
    </w:p>
    <w:p w:rsidR="004D68B9" w:rsidRPr="00FB49B5" w:rsidRDefault="004D68B9" w:rsidP="004D68B9">
      <w:pPr>
        <w:spacing w:before="360"/>
        <w:rPr>
          <w:rFonts w:ascii="Times New Roman" w:hAnsi="Times New Roman" w:cs="Times New Roman"/>
          <w:b/>
          <w:sz w:val="24"/>
          <w:szCs w:val="24"/>
        </w:rPr>
      </w:pPr>
      <w:r w:rsidRPr="00FB49B5">
        <w:rPr>
          <w:rFonts w:ascii="Times New Roman" w:hAnsi="Times New Roman" w:cs="Times New Roman"/>
          <w:b/>
          <w:sz w:val="24"/>
          <w:szCs w:val="24"/>
        </w:rPr>
        <w:t>1. IZVJEŠTAJ O KORIŠTENJU FONDOVA EUROPSKE UNIJE ZA 2025. GODINU</w:t>
      </w:r>
    </w:p>
    <w:p w:rsidR="006F183C" w:rsidRDefault="006F183C" w:rsidP="004D68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Izvještaj o korištenju fondova Europske unije za 2025. godinu uključuje </w:t>
      </w:r>
      <w:r w:rsidR="005A00BD">
        <w:rPr>
          <w:rFonts w:ascii="Times New Roman" w:hAnsi="Times New Roman" w:cs="Times New Roman"/>
          <w:sz w:val="24"/>
          <w:szCs w:val="24"/>
        </w:rPr>
        <w:t xml:space="preserve">bespovratna </w:t>
      </w:r>
      <w:r>
        <w:rPr>
          <w:rFonts w:ascii="Times New Roman" w:hAnsi="Times New Roman" w:cs="Times New Roman"/>
          <w:sz w:val="24"/>
          <w:szCs w:val="24"/>
        </w:rPr>
        <w:t>sredstva Europske unije</w:t>
      </w:r>
      <w:r w:rsidR="00814FAD">
        <w:rPr>
          <w:rFonts w:ascii="Times New Roman" w:hAnsi="Times New Roman" w:cs="Times New Roman"/>
          <w:sz w:val="24"/>
          <w:szCs w:val="24"/>
        </w:rPr>
        <w:t xml:space="preserve"> </w:t>
      </w:r>
      <w:r w:rsidR="005A00BD">
        <w:rPr>
          <w:rFonts w:ascii="Times New Roman" w:hAnsi="Times New Roman" w:cs="Times New Roman"/>
          <w:sz w:val="24"/>
          <w:szCs w:val="24"/>
        </w:rPr>
        <w:t xml:space="preserve">te bespovratna sredstva i </w:t>
      </w:r>
      <w:r w:rsidR="001B68B6">
        <w:rPr>
          <w:rFonts w:ascii="Times New Roman" w:hAnsi="Times New Roman" w:cs="Times New Roman"/>
          <w:sz w:val="24"/>
          <w:szCs w:val="24"/>
        </w:rPr>
        <w:t>namjenske primitke od zaduživanja (</w:t>
      </w:r>
      <w:r w:rsidR="005A00BD">
        <w:rPr>
          <w:rFonts w:ascii="Times New Roman" w:hAnsi="Times New Roman" w:cs="Times New Roman"/>
          <w:sz w:val="24"/>
          <w:szCs w:val="24"/>
        </w:rPr>
        <w:t>zajmove</w:t>
      </w:r>
      <w:r w:rsidR="001B68B6">
        <w:rPr>
          <w:rFonts w:ascii="Times New Roman" w:hAnsi="Times New Roman" w:cs="Times New Roman"/>
          <w:sz w:val="24"/>
          <w:szCs w:val="24"/>
        </w:rPr>
        <w:t>)</w:t>
      </w:r>
      <w:r w:rsidR="005A00BD">
        <w:rPr>
          <w:rFonts w:ascii="Times New Roman" w:hAnsi="Times New Roman" w:cs="Times New Roman"/>
          <w:sz w:val="24"/>
          <w:szCs w:val="24"/>
        </w:rPr>
        <w:t xml:space="preserve"> iz </w:t>
      </w:r>
      <w:r w:rsidR="00814FAD">
        <w:rPr>
          <w:rFonts w:ascii="Times New Roman" w:hAnsi="Times New Roman" w:cs="Times New Roman"/>
          <w:sz w:val="24"/>
          <w:szCs w:val="24"/>
        </w:rPr>
        <w:t>s</w:t>
      </w:r>
      <w:r>
        <w:rPr>
          <w:rFonts w:ascii="Times New Roman" w:hAnsi="Times New Roman" w:cs="Times New Roman"/>
          <w:sz w:val="24"/>
          <w:szCs w:val="24"/>
        </w:rPr>
        <w:t>redst</w:t>
      </w:r>
      <w:r w:rsidR="001B68B6">
        <w:rPr>
          <w:rFonts w:ascii="Times New Roman" w:hAnsi="Times New Roman" w:cs="Times New Roman"/>
          <w:sz w:val="24"/>
          <w:szCs w:val="24"/>
        </w:rPr>
        <w:t>a</w:t>
      </w:r>
      <w:r>
        <w:rPr>
          <w:rFonts w:ascii="Times New Roman" w:hAnsi="Times New Roman" w:cs="Times New Roman"/>
          <w:sz w:val="24"/>
          <w:szCs w:val="24"/>
        </w:rPr>
        <w:t>va Mehanizma za oporavak i otpornost</w:t>
      </w:r>
      <w:r w:rsidRPr="006F183C">
        <w:rPr>
          <w:rFonts w:ascii="Times New Roman" w:hAnsi="Times New Roman" w:cs="Times New Roman"/>
          <w:sz w:val="24"/>
          <w:szCs w:val="24"/>
        </w:rPr>
        <w:t xml:space="preserve"> </w:t>
      </w:r>
      <w:r w:rsidR="005A00BD">
        <w:rPr>
          <w:rFonts w:ascii="Times New Roman" w:hAnsi="Times New Roman" w:cs="Times New Roman"/>
          <w:sz w:val="24"/>
          <w:szCs w:val="24"/>
        </w:rPr>
        <w:t>u okviru privremenog instrumenta NextGenerationEU</w:t>
      </w:r>
      <w:r w:rsidRPr="00FB49B5">
        <w:rPr>
          <w:rFonts w:ascii="Times New Roman" w:hAnsi="Times New Roman" w:cs="Times New Roman"/>
          <w:sz w:val="24"/>
          <w:szCs w:val="24"/>
        </w:rPr>
        <w:t>.</w:t>
      </w:r>
    </w:p>
    <w:p w:rsidR="00814FAD" w:rsidRDefault="00814FAD" w:rsidP="004D68B9">
      <w:pPr>
        <w:spacing w:after="0" w:line="240" w:lineRule="auto"/>
        <w:jc w:val="both"/>
        <w:rPr>
          <w:rFonts w:ascii="Times New Roman" w:hAnsi="Times New Roman" w:cs="Times New Roman"/>
          <w:sz w:val="24"/>
          <w:szCs w:val="24"/>
        </w:rPr>
      </w:pPr>
    </w:p>
    <w:p w:rsidR="004D68B9" w:rsidRPr="00FB49B5" w:rsidRDefault="004D68B9" w:rsidP="004D68B9">
      <w:pPr>
        <w:spacing w:after="0" w:line="240" w:lineRule="auto"/>
        <w:jc w:val="both"/>
        <w:rPr>
          <w:rFonts w:ascii="Times New Roman" w:hAnsi="Times New Roman" w:cs="Times New Roman"/>
          <w:sz w:val="24"/>
          <w:szCs w:val="24"/>
        </w:rPr>
      </w:pPr>
      <w:r w:rsidRPr="00FB49B5">
        <w:rPr>
          <w:rFonts w:ascii="Times New Roman" w:hAnsi="Times New Roman" w:cs="Times New Roman"/>
          <w:sz w:val="24"/>
          <w:szCs w:val="24"/>
        </w:rPr>
        <w:t xml:space="preserve">U 2025. godini u državnom proračunu evidentirano je 3.793.400.399 eura prihoda i primitaka iz </w:t>
      </w:r>
      <w:r w:rsidR="00132827">
        <w:rPr>
          <w:rFonts w:ascii="Times New Roman" w:hAnsi="Times New Roman" w:cs="Times New Roman"/>
          <w:sz w:val="24"/>
          <w:szCs w:val="24"/>
        </w:rPr>
        <w:t>sredstava</w:t>
      </w:r>
      <w:r w:rsidR="00132827" w:rsidRPr="00FB49B5">
        <w:rPr>
          <w:rFonts w:ascii="Times New Roman" w:hAnsi="Times New Roman" w:cs="Times New Roman"/>
          <w:sz w:val="24"/>
          <w:szCs w:val="24"/>
        </w:rPr>
        <w:t xml:space="preserve"> </w:t>
      </w:r>
      <w:r w:rsidRPr="00FB49B5">
        <w:rPr>
          <w:rFonts w:ascii="Times New Roman" w:hAnsi="Times New Roman" w:cs="Times New Roman"/>
          <w:sz w:val="24"/>
          <w:szCs w:val="24"/>
        </w:rPr>
        <w:t>Europske unije</w:t>
      </w:r>
      <w:r w:rsidR="006F183C">
        <w:rPr>
          <w:rFonts w:ascii="Times New Roman" w:hAnsi="Times New Roman" w:cs="Times New Roman"/>
          <w:sz w:val="24"/>
          <w:szCs w:val="24"/>
        </w:rPr>
        <w:t xml:space="preserve"> </w:t>
      </w:r>
      <w:r w:rsidR="005A00BD">
        <w:rPr>
          <w:rFonts w:ascii="Times New Roman" w:hAnsi="Times New Roman" w:cs="Times New Roman"/>
          <w:sz w:val="24"/>
          <w:szCs w:val="24"/>
        </w:rPr>
        <w:t>i</w:t>
      </w:r>
      <w:r w:rsidR="006F183C">
        <w:rPr>
          <w:rFonts w:ascii="Times New Roman" w:hAnsi="Times New Roman" w:cs="Times New Roman"/>
          <w:sz w:val="24"/>
          <w:szCs w:val="24"/>
        </w:rPr>
        <w:t xml:space="preserve"> Mehanizma za oporavak i otpornost. </w:t>
      </w:r>
      <w:r w:rsidRPr="00FB49B5">
        <w:rPr>
          <w:rFonts w:ascii="Times New Roman" w:hAnsi="Times New Roman" w:cs="Times New Roman"/>
          <w:sz w:val="24"/>
          <w:szCs w:val="24"/>
        </w:rPr>
        <w:t>Rashodi i izdaci evidentirani su u iznosu od 3.921.438.455 eura, od čega</w:t>
      </w:r>
      <w:r w:rsidR="005A00BD">
        <w:rPr>
          <w:rFonts w:ascii="Times New Roman" w:hAnsi="Times New Roman" w:cs="Times New Roman"/>
          <w:sz w:val="24"/>
          <w:szCs w:val="24"/>
        </w:rPr>
        <w:t xml:space="preserve"> su</w:t>
      </w:r>
      <w:r w:rsidR="00814FAD">
        <w:rPr>
          <w:rFonts w:ascii="Times New Roman" w:hAnsi="Times New Roman" w:cs="Times New Roman"/>
          <w:sz w:val="24"/>
          <w:szCs w:val="24"/>
        </w:rPr>
        <w:t xml:space="preserve"> </w:t>
      </w:r>
      <w:r w:rsidRPr="00FB49B5">
        <w:rPr>
          <w:rFonts w:ascii="Times New Roman" w:hAnsi="Times New Roman" w:cs="Times New Roman"/>
          <w:sz w:val="24"/>
          <w:szCs w:val="24"/>
        </w:rPr>
        <w:t>najznačajniji u iznosu od 1.386.388.160 eura na Mehanizmu za oporavak i otpornost</w:t>
      </w:r>
      <w:r w:rsidR="00132827" w:rsidRPr="00132827">
        <w:rPr>
          <w:rFonts w:ascii="Times New Roman" w:hAnsi="Times New Roman" w:cs="Times New Roman"/>
          <w:sz w:val="24"/>
          <w:szCs w:val="24"/>
        </w:rPr>
        <w:t xml:space="preserve"> </w:t>
      </w:r>
      <w:r w:rsidR="007666BD">
        <w:rPr>
          <w:rFonts w:ascii="Times New Roman" w:hAnsi="Times New Roman" w:cs="Times New Roman"/>
          <w:sz w:val="24"/>
          <w:szCs w:val="24"/>
        </w:rPr>
        <w:t>(</w:t>
      </w:r>
      <w:r w:rsidR="00132827">
        <w:rPr>
          <w:rFonts w:ascii="Times New Roman" w:hAnsi="Times New Roman" w:cs="Times New Roman"/>
          <w:sz w:val="24"/>
          <w:szCs w:val="24"/>
        </w:rPr>
        <w:t>bespovratna sredstva</w:t>
      </w:r>
      <w:r w:rsidR="007666BD">
        <w:rPr>
          <w:rFonts w:ascii="Times New Roman" w:hAnsi="Times New Roman" w:cs="Times New Roman"/>
          <w:sz w:val="24"/>
          <w:szCs w:val="24"/>
        </w:rPr>
        <w:t>)</w:t>
      </w:r>
      <w:r w:rsidR="006F183C">
        <w:rPr>
          <w:rFonts w:ascii="Times New Roman" w:hAnsi="Times New Roman" w:cs="Times New Roman"/>
          <w:sz w:val="24"/>
          <w:szCs w:val="24"/>
        </w:rPr>
        <w:t>, a</w:t>
      </w:r>
      <w:r w:rsidRPr="00FB49B5">
        <w:rPr>
          <w:rFonts w:ascii="Times New Roman" w:hAnsi="Times New Roman" w:cs="Times New Roman"/>
          <w:sz w:val="24"/>
          <w:szCs w:val="24"/>
        </w:rPr>
        <w:t xml:space="preserve"> 507.505.982</w:t>
      </w:r>
      <w:r w:rsidR="002941F6" w:rsidRPr="00FB49B5">
        <w:rPr>
          <w:rFonts w:ascii="Times New Roman" w:hAnsi="Times New Roman" w:cs="Times New Roman"/>
          <w:sz w:val="24"/>
          <w:szCs w:val="24"/>
        </w:rPr>
        <w:t xml:space="preserve"> eura</w:t>
      </w:r>
      <w:r w:rsidRPr="00FB49B5">
        <w:rPr>
          <w:rFonts w:ascii="Times New Roman" w:hAnsi="Times New Roman" w:cs="Times New Roman"/>
          <w:sz w:val="24"/>
          <w:szCs w:val="24"/>
        </w:rPr>
        <w:t xml:space="preserve"> na Europskom fondu za regionalni razvoj. </w:t>
      </w:r>
      <w:r w:rsidR="005A00BD">
        <w:rPr>
          <w:rFonts w:ascii="Times New Roman" w:hAnsi="Times New Roman" w:cs="Times New Roman"/>
          <w:sz w:val="24"/>
          <w:szCs w:val="24"/>
        </w:rPr>
        <w:t xml:space="preserve">Također, </w:t>
      </w:r>
      <w:r w:rsidRPr="00FB49B5">
        <w:rPr>
          <w:rFonts w:ascii="Times New Roman" w:eastAsia="Times New Roman" w:hAnsi="Times New Roman" w:cs="Times New Roman"/>
          <w:sz w:val="24"/>
          <w:szCs w:val="24"/>
          <w:lang w:eastAsia="hr-HR"/>
        </w:rPr>
        <w:t xml:space="preserve">u okviru izvora financiranja Namjenski primici od zaduživanja (Namjenski primici – NPOO) evidentirano je </w:t>
      </w:r>
      <w:r w:rsidRPr="00FB49B5">
        <w:rPr>
          <w:rFonts w:ascii="Times New Roman" w:hAnsi="Times New Roman" w:cs="Times New Roman"/>
          <w:sz w:val="24"/>
          <w:szCs w:val="24"/>
        </w:rPr>
        <w:t xml:space="preserve">565.730.601 </w:t>
      </w:r>
      <w:r w:rsidRPr="00FB49B5">
        <w:rPr>
          <w:rFonts w:ascii="Times New Roman" w:eastAsia="Times New Roman" w:hAnsi="Times New Roman" w:cs="Times New Roman"/>
          <w:sz w:val="24"/>
          <w:szCs w:val="24"/>
          <w:lang w:eastAsia="hr-HR"/>
        </w:rPr>
        <w:t>eura rashoda</w:t>
      </w:r>
      <w:r w:rsidR="00132827">
        <w:rPr>
          <w:rFonts w:ascii="Times New Roman" w:eastAsia="Times New Roman" w:hAnsi="Times New Roman" w:cs="Times New Roman"/>
          <w:sz w:val="24"/>
          <w:szCs w:val="24"/>
          <w:lang w:eastAsia="hr-HR"/>
        </w:rPr>
        <w:t xml:space="preserve"> iz zajma </w:t>
      </w:r>
      <w:r w:rsidR="00132827">
        <w:rPr>
          <w:rFonts w:ascii="Times New Roman" w:hAnsi="Times New Roman" w:cs="Times New Roman"/>
          <w:sz w:val="24"/>
          <w:szCs w:val="24"/>
        </w:rPr>
        <w:t>Mehanizma za oporavak i otpornost</w:t>
      </w:r>
      <w:r w:rsidRPr="00FB49B5">
        <w:rPr>
          <w:rFonts w:ascii="Times New Roman" w:eastAsia="Times New Roman" w:hAnsi="Times New Roman" w:cs="Times New Roman"/>
          <w:sz w:val="24"/>
          <w:szCs w:val="24"/>
          <w:lang w:eastAsia="hr-HR"/>
        </w:rPr>
        <w:t xml:space="preserve"> kojima je financiran nastavak cjelovite obnove javnih zgrada oštećenih u potresima</w:t>
      </w:r>
      <w:r w:rsidR="002941F6" w:rsidRPr="00FB49B5">
        <w:rPr>
          <w:rFonts w:ascii="Times New Roman" w:eastAsia="Times New Roman" w:hAnsi="Times New Roman" w:cs="Times New Roman"/>
          <w:sz w:val="24"/>
          <w:szCs w:val="24"/>
          <w:lang w:eastAsia="hr-HR"/>
        </w:rPr>
        <w:t xml:space="preserve"> i projekti energetske infrastrukture</w:t>
      </w:r>
      <w:r w:rsidRPr="00FB49B5">
        <w:rPr>
          <w:rFonts w:ascii="Times New Roman" w:eastAsia="Times New Roman" w:hAnsi="Times New Roman" w:cs="Times New Roman"/>
          <w:sz w:val="24"/>
          <w:szCs w:val="24"/>
          <w:lang w:eastAsia="hr-HR"/>
        </w:rPr>
        <w:t>.</w:t>
      </w:r>
    </w:p>
    <w:p w:rsidR="00D47DB0" w:rsidRPr="00FB49B5" w:rsidRDefault="00D47DB0" w:rsidP="00D47DB0">
      <w:pPr>
        <w:spacing w:after="0" w:line="240" w:lineRule="auto"/>
        <w:jc w:val="both"/>
        <w:rPr>
          <w:rFonts w:ascii="Times New Roman" w:eastAsia="Times New Roman" w:hAnsi="Times New Roman" w:cs="Times New Roman"/>
          <w:sz w:val="24"/>
          <w:szCs w:val="24"/>
          <w:lang w:eastAsia="hr-HR"/>
        </w:rPr>
      </w:pPr>
    </w:p>
    <w:p w:rsidR="00613D1C" w:rsidRPr="00FB49B5" w:rsidRDefault="00613D1C" w:rsidP="00613D1C">
      <w:pPr>
        <w:spacing w:after="0" w:line="240" w:lineRule="auto"/>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 xml:space="preserve">Za potrebe praćenja ostvarenja prihoda i primitaka te izvršavanja rashoda i izdataka iz </w:t>
      </w:r>
      <w:r w:rsidR="002941F6" w:rsidRPr="00FB49B5">
        <w:rPr>
          <w:rFonts w:ascii="Times New Roman" w:eastAsia="Times New Roman" w:hAnsi="Times New Roman" w:cs="Times New Roman"/>
          <w:sz w:val="24"/>
          <w:szCs w:val="24"/>
          <w:lang w:eastAsia="hr-HR"/>
        </w:rPr>
        <w:t xml:space="preserve">bespovratnih sredstava </w:t>
      </w:r>
      <w:r w:rsidRPr="00FB49B5">
        <w:rPr>
          <w:rFonts w:ascii="Times New Roman" w:eastAsia="Times New Roman" w:hAnsi="Times New Roman" w:cs="Times New Roman"/>
          <w:sz w:val="24"/>
          <w:szCs w:val="24"/>
          <w:lang w:eastAsia="hr-HR"/>
        </w:rPr>
        <w:t>Europske unije</w:t>
      </w:r>
      <w:r w:rsidR="002941F6" w:rsidRPr="00FB49B5">
        <w:rPr>
          <w:rFonts w:ascii="Times New Roman" w:eastAsia="Times New Roman" w:hAnsi="Times New Roman" w:cs="Times New Roman"/>
          <w:sz w:val="24"/>
          <w:szCs w:val="24"/>
          <w:lang w:eastAsia="hr-HR"/>
        </w:rPr>
        <w:t xml:space="preserve"> </w:t>
      </w:r>
      <w:r w:rsidR="009D3163" w:rsidRPr="00FB49B5">
        <w:rPr>
          <w:rFonts w:ascii="Times New Roman" w:eastAsia="Times New Roman" w:hAnsi="Times New Roman" w:cs="Times New Roman"/>
          <w:sz w:val="24"/>
          <w:szCs w:val="24"/>
          <w:lang w:eastAsia="hr-HR"/>
        </w:rPr>
        <w:t xml:space="preserve">i iz </w:t>
      </w:r>
      <w:r w:rsidR="002941F6" w:rsidRPr="00FB49B5">
        <w:rPr>
          <w:rFonts w:ascii="Times New Roman" w:eastAsia="Times New Roman" w:hAnsi="Times New Roman" w:cs="Times New Roman"/>
          <w:sz w:val="24"/>
          <w:szCs w:val="24"/>
          <w:lang w:eastAsia="hr-HR"/>
        </w:rPr>
        <w:t xml:space="preserve">namjenskog primitka od zaduživanja iz </w:t>
      </w:r>
      <w:r w:rsidR="00131256" w:rsidRPr="00FB49B5">
        <w:rPr>
          <w:rFonts w:ascii="Times New Roman" w:eastAsia="Times New Roman" w:hAnsi="Times New Roman" w:cs="Times New Roman"/>
          <w:sz w:val="24"/>
          <w:szCs w:val="24"/>
          <w:lang w:eastAsia="hr-HR"/>
        </w:rPr>
        <w:t>Europske unije</w:t>
      </w:r>
      <w:r w:rsidR="009D3163" w:rsidRPr="00FB49B5">
        <w:rPr>
          <w:rFonts w:ascii="Times New Roman" w:eastAsia="Times New Roman" w:hAnsi="Times New Roman" w:cs="Times New Roman"/>
          <w:sz w:val="24"/>
          <w:szCs w:val="24"/>
          <w:lang w:eastAsia="hr-HR"/>
        </w:rPr>
        <w:t>,</w:t>
      </w:r>
      <w:r w:rsidR="00131256" w:rsidRPr="00FB49B5">
        <w:rPr>
          <w:rFonts w:ascii="Times New Roman" w:eastAsia="Times New Roman" w:hAnsi="Times New Roman" w:cs="Times New Roman"/>
          <w:sz w:val="24"/>
          <w:szCs w:val="24"/>
          <w:lang w:eastAsia="hr-HR"/>
        </w:rPr>
        <w:t xml:space="preserve"> </w:t>
      </w:r>
      <w:r w:rsidRPr="00FB49B5">
        <w:rPr>
          <w:rFonts w:ascii="Times New Roman" w:eastAsia="Times New Roman" w:hAnsi="Times New Roman" w:cs="Times New Roman"/>
          <w:sz w:val="24"/>
          <w:szCs w:val="24"/>
          <w:lang w:eastAsia="hr-HR"/>
        </w:rPr>
        <w:t xml:space="preserve">u državnom proračunu </w:t>
      </w:r>
      <w:r w:rsidR="009D3163" w:rsidRPr="00FB49B5">
        <w:rPr>
          <w:rFonts w:ascii="Times New Roman" w:eastAsia="Times New Roman" w:hAnsi="Times New Roman" w:cs="Times New Roman"/>
          <w:sz w:val="24"/>
          <w:szCs w:val="24"/>
          <w:lang w:eastAsia="hr-HR"/>
        </w:rPr>
        <w:t>utvrđeni</w:t>
      </w:r>
      <w:r w:rsidRPr="00FB49B5">
        <w:rPr>
          <w:rFonts w:ascii="Times New Roman" w:eastAsia="Times New Roman" w:hAnsi="Times New Roman" w:cs="Times New Roman"/>
          <w:sz w:val="24"/>
          <w:szCs w:val="24"/>
          <w:lang w:eastAsia="hr-HR"/>
        </w:rPr>
        <w:t xml:space="preserve"> su izvori financiranja s podizvorima kako slijedi:</w:t>
      </w:r>
    </w:p>
    <w:p w:rsidR="00613D1C" w:rsidRPr="00FB49B5" w:rsidRDefault="00613D1C" w:rsidP="00613D1C">
      <w:pPr>
        <w:spacing w:after="0" w:line="240" w:lineRule="auto"/>
        <w:jc w:val="both"/>
        <w:rPr>
          <w:rFonts w:ascii="Times New Roman" w:eastAsia="Times New Roman" w:hAnsi="Times New Roman" w:cs="Times New Roman"/>
          <w:i/>
          <w:sz w:val="24"/>
          <w:szCs w:val="24"/>
          <w:lang w:eastAsia="hr-HR"/>
        </w:rPr>
      </w:pPr>
    </w:p>
    <w:p w:rsidR="00613D1C" w:rsidRPr="00FB49B5" w:rsidRDefault="00613D1C" w:rsidP="00613D1C">
      <w:pPr>
        <w:spacing w:after="0" w:line="240" w:lineRule="auto"/>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51 Pomoći EU</w:t>
      </w:r>
    </w:p>
    <w:p w:rsidR="00613D1C" w:rsidRPr="00FB49B5" w:rsidRDefault="00613D1C" w:rsidP="00613D1C">
      <w:pPr>
        <w:spacing w:after="0" w:line="240" w:lineRule="auto"/>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55 Refundacije iz pomoći EU</w:t>
      </w:r>
    </w:p>
    <w:p w:rsidR="00613D1C" w:rsidRPr="00FB49B5" w:rsidRDefault="00613D1C" w:rsidP="00613D1C">
      <w:pPr>
        <w:spacing w:after="0" w:line="240" w:lineRule="auto"/>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ab/>
      </w:r>
      <w:r w:rsidRPr="00FB49B5">
        <w:rPr>
          <w:rFonts w:ascii="Times New Roman" w:eastAsia="Times New Roman" w:hAnsi="Times New Roman" w:cs="Times New Roman"/>
          <w:sz w:val="24"/>
          <w:szCs w:val="24"/>
          <w:lang w:eastAsia="hr-HR"/>
        </w:rPr>
        <w:tab/>
        <w:t>551 Europski poljoprivredni jamstveni fond (EAGF)</w:t>
      </w:r>
    </w:p>
    <w:p w:rsidR="00613D1C" w:rsidRPr="00FB49B5" w:rsidRDefault="00613D1C" w:rsidP="00613D1C">
      <w:pPr>
        <w:spacing w:after="0" w:line="240" w:lineRule="auto"/>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ab/>
      </w:r>
      <w:r w:rsidRPr="00FB49B5">
        <w:rPr>
          <w:rFonts w:ascii="Times New Roman" w:eastAsia="Times New Roman" w:hAnsi="Times New Roman" w:cs="Times New Roman"/>
          <w:sz w:val="24"/>
          <w:szCs w:val="24"/>
          <w:lang w:eastAsia="hr-HR"/>
        </w:rPr>
        <w:tab/>
        <w:t>552 Švicarski instrument</w:t>
      </w:r>
    </w:p>
    <w:p w:rsidR="00613D1C" w:rsidRPr="00FB49B5" w:rsidRDefault="00613D1C" w:rsidP="00613D1C">
      <w:pPr>
        <w:spacing w:after="0" w:line="240" w:lineRule="auto"/>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ab/>
      </w:r>
      <w:r w:rsidRPr="00FB49B5">
        <w:rPr>
          <w:rFonts w:ascii="Times New Roman" w:eastAsia="Times New Roman" w:hAnsi="Times New Roman" w:cs="Times New Roman"/>
          <w:sz w:val="24"/>
          <w:szCs w:val="24"/>
          <w:lang w:eastAsia="hr-HR"/>
        </w:rPr>
        <w:tab/>
        <w:t>559 Ostale refundacije iz sredstava EU</w:t>
      </w:r>
    </w:p>
    <w:p w:rsidR="00613D1C" w:rsidRPr="00FB49B5" w:rsidRDefault="00613D1C" w:rsidP="00613D1C">
      <w:pPr>
        <w:spacing w:after="0" w:line="240" w:lineRule="auto"/>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56 Fondovi EU</w:t>
      </w:r>
    </w:p>
    <w:p w:rsidR="00613D1C" w:rsidRPr="00FB49B5" w:rsidRDefault="00613D1C" w:rsidP="00613D1C">
      <w:pPr>
        <w:spacing w:after="0" w:line="240" w:lineRule="auto"/>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ab/>
      </w:r>
      <w:r w:rsidRPr="00FB49B5">
        <w:rPr>
          <w:rFonts w:ascii="Times New Roman" w:eastAsia="Times New Roman" w:hAnsi="Times New Roman" w:cs="Times New Roman"/>
          <w:sz w:val="24"/>
          <w:szCs w:val="24"/>
          <w:lang w:eastAsia="hr-HR"/>
        </w:rPr>
        <w:tab/>
        <w:t>561 Europski socijalni fond (ESF)</w:t>
      </w:r>
    </w:p>
    <w:p w:rsidR="00613D1C" w:rsidRPr="00FB49B5" w:rsidRDefault="00613D1C" w:rsidP="00613D1C">
      <w:pPr>
        <w:spacing w:after="0" w:line="240" w:lineRule="auto"/>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ab/>
      </w:r>
      <w:r w:rsidRPr="00FB49B5">
        <w:rPr>
          <w:rFonts w:ascii="Times New Roman" w:eastAsia="Times New Roman" w:hAnsi="Times New Roman" w:cs="Times New Roman"/>
          <w:sz w:val="24"/>
          <w:szCs w:val="24"/>
          <w:lang w:eastAsia="hr-HR"/>
        </w:rPr>
        <w:tab/>
        <w:t>562 Kohezijski fond (KF)</w:t>
      </w:r>
    </w:p>
    <w:p w:rsidR="00613D1C" w:rsidRPr="00FB49B5" w:rsidRDefault="00613D1C" w:rsidP="00613D1C">
      <w:pPr>
        <w:spacing w:after="0" w:line="240" w:lineRule="auto"/>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ab/>
      </w:r>
      <w:r w:rsidRPr="00FB49B5">
        <w:rPr>
          <w:rFonts w:ascii="Times New Roman" w:eastAsia="Times New Roman" w:hAnsi="Times New Roman" w:cs="Times New Roman"/>
          <w:sz w:val="24"/>
          <w:szCs w:val="24"/>
          <w:lang w:eastAsia="hr-HR"/>
        </w:rPr>
        <w:tab/>
        <w:t>563 Europski fond za regionalni razvoj (EFRR)</w:t>
      </w:r>
    </w:p>
    <w:p w:rsidR="00613D1C" w:rsidRPr="00FB49B5" w:rsidRDefault="00613D1C" w:rsidP="00613D1C">
      <w:pPr>
        <w:spacing w:after="0" w:line="240" w:lineRule="auto"/>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ab/>
      </w:r>
      <w:r w:rsidRPr="00FB49B5">
        <w:rPr>
          <w:rFonts w:ascii="Times New Roman" w:eastAsia="Times New Roman" w:hAnsi="Times New Roman" w:cs="Times New Roman"/>
          <w:sz w:val="24"/>
          <w:szCs w:val="24"/>
          <w:lang w:eastAsia="hr-HR"/>
        </w:rPr>
        <w:tab/>
        <w:t>564 Europski fond za pomorstvo i ribarstvo (EFPR)</w:t>
      </w:r>
    </w:p>
    <w:p w:rsidR="00613D1C" w:rsidRPr="00FB49B5" w:rsidRDefault="00613D1C" w:rsidP="00613D1C">
      <w:pPr>
        <w:spacing w:after="0" w:line="240" w:lineRule="auto"/>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ab/>
      </w:r>
      <w:r w:rsidRPr="00FB49B5">
        <w:rPr>
          <w:rFonts w:ascii="Times New Roman" w:eastAsia="Times New Roman" w:hAnsi="Times New Roman" w:cs="Times New Roman"/>
          <w:sz w:val="24"/>
          <w:szCs w:val="24"/>
          <w:lang w:eastAsia="hr-HR"/>
        </w:rPr>
        <w:tab/>
        <w:t>565 Europski poljoprivredni fond za ruralni razvoj (EPFRR)</w:t>
      </w:r>
    </w:p>
    <w:p w:rsidR="00613D1C" w:rsidRPr="00FB49B5" w:rsidRDefault="00613D1C" w:rsidP="00613D1C">
      <w:pPr>
        <w:spacing w:after="0" w:line="240" w:lineRule="auto"/>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57 Ostali programi EU</w:t>
      </w:r>
    </w:p>
    <w:p w:rsidR="00613D1C" w:rsidRPr="00FB49B5" w:rsidRDefault="00613D1C" w:rsidP="00814FAD">
      <w:pPr>
        <w:tabs>
          <w:tab w:val="left" w:pos="708"/>
          <w:tab w:val="left" w:pos="1416"/>
          <w:tab w:val="left" w:pos="2124"/>
          <w:tab w:val="left" w:pos="2832"/>
          <w:tab w:val="left" w:pos="3540"/>
          <w:tab w:val="right" w:pos="9072"/>
        </w:tabs>
        <w:spacing w:after="0" w:line="240" w:lineRule="auto"/>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ab/>
      </w:r>
      <w:r w:rsidRPr="00FB49B5">
        <w:rPr>
          <w:rFonts w:ascii="Times New Roman" w:eastAsia="Times New Roman" w:hAnsi="Times New Roman" w:cs="Times New Roman"/>
          <w:sz w:val="24"/>
          <w:szCs w:val="24"/>
          <w:lang w:eastAsia="hr-HR"/>
        </w:rPr>
        <w:tab/>
        <w:t>571 Schengenski instrument</w:t>
      </w:r>
      <w:r w:rsidR="00814FAD">
        <w:rPr>
          <w:rFonts w:ascii="Times New Roman" w:eastAsia="Times New Roman" w:hAnsi="Times New Roman" w:cs="Times New Roman"/>
          <w:sz w:val="24"/>
          <w:szCs w:val="24"/>
          <w:lang w:eastAsia="hr-HR"/>
        </w:rPr>
        <w:tab/>
      </w:r>
    </w:p>
    <w:p w:rsidR="00613D1C" w:rsidRPr="00FB49B5" w:rsidRDefault="00613D1C" w:rsidP="00613D1C">
      <w:pPr>
        <w:spacing w:after="0" w:line="240" w:lineRule="auto"/>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ab/>
      </w:r>
      <w:r w:rsidRPr="00FB49B5">
        <w:rPr>
          <w:rFonts w:ascii="Times New Roman" w:eastAsia="Times New Roman" w:hAnsi="Times New Roman" w:cs="Times New Roman"/>
          <w:sz w:val="24"/>
          <w:szCs w:val="24"/>
          <w:lang w:eastAsia="hr-HR"/>
        </w:rPr>
        <w:tab/>
        <w:t>572 Fondovi za izbjeglice i povratak</w:t>
      </w:r>
    </w:p>
    <w:p w:rsidR="006F183C" w:rsidRDefault="00613D1C" w:rsidP="00613D1C">
      <w:pPr>
        <w:spacing w:after="0" w:line="240" w:lineRule="auto"/>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ab/>
      </w:r>
      <w:r w:rsidRPr="00FB49B5">
        <w:rPr>
          <w:rFonts w:ascii="Times New Roman" w:eastAsia="Times New Roman" w:hAnsi="Times New Roman" w:cs="Times New Roman"/>
          <w:sz w:val="24"/>
          <w:szCs w:val="24"/>
          <w:lang w:eastAsia="hr-HR"/>
        </w:rPr>
        <w:tab/>
        <w:t>573 Instrumenti europskog gospodarskog prostora i</w:t>
      </w:r>
    </w:p>
    <w:p w:rsidR="00613D1C" w:rsidRPr="00FB49B5" w:rsidRDefault="006F183C" w:rsidP="00814FAD">
      <w:pPr>
        <w:spacing w:after="0" w:line="240" w:lineRule="auto"/>
        <w:ind w:left="1416"/>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      </w:t>
      </w:r>
      <w:r w:rsidR="00613D1C" w:rsidRPr="00FB49B5">
        <w:rPr>
          <w:rFonts w:ascii="Times New Roman" w:eastAsia="Times New Roman" w:hAnsi="Times New Roman" w:cs="Times New Roman"/>
          <w:sz w:val="24"/>
          <w:szCs w:val="24"/>
          <w:lang w:eastAsia="hr-HR"/>
        </w:rPr>
        <w:t xml:space="preserve"> ostali instrumenti</w:t>
      </w:r>
    </w:p>
    <w:p w:rsidR="00613D1C" w:rsidRPr="00FB49B5" w:rsidRDefault="00613D1C" w:rsidP="00613D1C">
      <w:pPr>
        <w:spacing w:after="0" w:line="240" w:lineRule="auto"/>
        <w:ind w:left="708" w:firstLine="708"/>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575 Fondovi za unutarnje poslove</w:t>
      </w:r>
    </w:p>
    <w:p w:rsidR="00613D1C" w:rsidRPr="00FB49B5" w:rsidRDefault="00613D1C" w:rsidP="00DA45E9">
      <w:pPr>
        <w:spacing w:after="0" w:line="240" w:lineRule="auto"/>
        <w:ind w:left="708" w:firstLine="708"/>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576 Fond solidarnosti Europske unije</w:t>
      </w:r>
    </w:p>
    <w:p w:rsidR="00613D1C" w:rsidRPr="00FB49B5" w:rsidRDefault="00613D1C" w:rsidP="00613D1C">
      <w:pPr>
        <w:spacing w:after="0" w:line="240" w:lineRule="auto"/>
        <w:ind w:left="708" w:firstLine="708"/>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577 Fond za pravednu tranziciju</w:t>
      </w:r>
    </w:p>
    <w:p w:rsidR="00613D1C" w:rsidRPr="00FB49B5" w:rsidRDefault="00613D1C" w:rsidP="00613D1C">
      <w:pPr>
        <w:spacing w:after="0" w:line="240" w:lineRule="auto"/>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58 Instrumenti EU nove generacije</w:t>
      </w:r>
    </w:p>
    <w:p w:rsidR="00613D1C" w:rsidRPr="00FB49B5" w:rsidRDefault="00613D1C" w:rsidP="00613D1C">
      <w:pPr>
        <w:spacing w:after="0" w:line="240" w:lineRule="auto"/>
        <w:ind w:left="708" w:firstLine="708"/>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581 Mehanizam za oporavak i otpornost</w:t>
      </w:r>
    </w:p>
    <w:p w:rsidR="00613D1C" w:rsidRPr="00FB49B5" w:rsidRDefault="00613D1C" w:rsidP="00613D1C">
      <w:pPr>
        <w:spacing w:after="0" w:line="240" w:lineRule="auto"/>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81 Namjenski primici od zaduživanja</w:t>
      </w:r>
      <w:r w:rsidR="006F183C">
        <w:rPr>
          <w:rFonts w:ascii="Times New Roman" w:eastAsia="Times New Roman" w:hAnsi="Times New Roman" w:cs="Times New Roman"/>
          <w:sz w:val="24"/>
          <w:szCs w:val="24"/>
          <w:lang w:eastAsia="hr-HR"/>
        </w:rPr>
        <w:tab/>
      </w:r>
      <w:r w:rsidR="006F183C">
        <w:rPr>
          <w:rFonts w:ascii="Times New Roman" w:eastAsia="Times New Roman" w:hAnsi="Times New Roman" w:cs="Times New Roman"/>
          <w:sz w:val="24"/>
          <w:szCs w:val="24"/>
          <w:lang w:eastAsia="hr-HR"/>
        </w:rPr>
        <w:tab/>
      </w:r>
      <w:r w:rsidR="006F183C">
        <w:rPr>
          <w:rFonts w:ascii="Times New Roman" w:eastAsia="Times New Roman" w:hAnsi="Times New Roman" w:cs="Times New Roman"/>
          <w:sz w:val="24"/>
          <w:szCs w:val="24"/>
          <w:lang w:eastAsia="hr-HR"/>
        </w:rPr>
        <w:tab/>
      </w:r>
      <w:r w:rsidR="006F183C">
        <w:rPr>
          <w:rFonts w:ascii="Times New Roman" w:eastAsia="Times New Roman" w:hAnsi="Times New Roman" w:cs="Times New Roman"/>
          <w:sz w:val="24"/>
          <w:szCs w:val="24"/>
          <w:lang w:eastAsia="hr-HR"/>
        </w:rPr>
        <w:tab/>
      </w:r>
      <w:r w:rsidR="006F183C">
        <w:rPr>
          <w:rFonts w:ascii="Times New Roman" w:eastAsia="Times New Roman" w:hAnsi="Times New Roman" w:cs="Times New Roman"/>
          <w:sz w:val="24"/>
          <w:szCs w:val="24"/>
          <w:lang w:eastAsia="hr-HR"/>
        </w:rPr>
        <w:tab/>
      </w:r>
    </w:p>
    <w:p w:rsidR="009D3163" w:rsidRPr="00FB49B5" w:rsidRDefault="00613D1C" w:rsidP="009D3163">
      <w:pPr>
        <w:spacing w:after="0" w:line="240" w:lineRule="auto"/>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ab/>
      </w:r>
      <w:r w:rsidRPr="00FB49B5">
        <w:rPr>
          <w:rFonts w:ascii="Times New Roman" w:eastAsia="Times New Roman" w:hAnsi="Times New Roman" w:cs="Times New Roman"/>
          <w:sz w:val="24"/>
          <w:szCs w:val="24"/>
          <w:lang w:eastAsia="hr-HR"/>
        </w:rPr>
        <w:tab/>
        <w:t>815 Namjenski primici</w:t>
      </w:r>
      <w:r w:rsidR="00B16175" w:rsidRPr="00FB49B5">
        <w:rPr>
          <w:rFonts w:ascii="Times New Roman" w:eastAsia="Times New Roman" w:hAnsi="Times New Roman" w:cs="Times New Roman"/>
          <w:sz w:val="24"/>
          <w:szCs w:val="24"/>
          <w:lang w:eastAsia="hr-HR"/>
        </w:rPr>
        <w:t xml:space="preserve"> – </w:t>
      </w:r>
      <w:r w:rsidRPr="00FB49B5">
        <w:rPr>
          <w:rFonts w:ascii="Times New Roman" w:eastAsia="Times New Roman" w:hAnsi="Times New Roman" w:cs="Times New Roman"/>
          <w:sz w:val="24"/>
          <w:szCs w:val="24"/>
          <w:lang w:eastAsia="hr-HR"/>
        </w:rPr>
        <w:t>NPOO</w:t>
      </w:r>
    </w:p>
    <w:p w:rsidR="009D3163" w:rsidRPr="00FB49B5" w:rsidRDefault="009D3163" w:rsidP="009D3163">
      <w:pPr>
        <w:spacing w:after="0" w:line="240" w:lineRule="auto"/>
        <w:jc w:val="both"/>
        <w:rPr>
          <w:rFonts w:ascii="Times New Roman" w:eastAsia="Times New Roman" w:hAnsi="Times New Roman" w:cs="Times New Roman"/>
          <w:sz w:val="24"/>
          <w:szCs w:val="24"/>
          <w:lang w:eastAsia="hr-HR"/>
        </w:rPr>
      </w:pPr>
    </w:p>
    <w:p w:rsidR="009D3163" w:rsidRDefault="009D3163" w:rsidP="009D3163">
      <w:pPr>
        <w:spacing w:after="0" w:line="240" w:lineRule="auto"/>
        <w:jc w:val="both"/>
        <w:rPr>
          <w:rFonts w:ascii="Times New Roman" w:eastAsia="Times New Roman" w:hAnsi="Times New Roman" w:cs="Times New Roman"/>
          <w:i/>
          <w:sz w:val="24"/>
          <w:szCs w:val="24"/>
          <w:lang w:eastAsia="hr-HR"/>
        </w:rPr>
      </w:pPr>
    </w:p>
    <w:p w:rsidR="00814FAD" w:rsidRDefault="00814FAD" w:rsidP="009D3163">
      <w:pPr>
        <w:spacing w:after="0" w:line="240" w:lineRule="auto"/>
        <w:jc w:val="both"/>
        <w:rPr>
          <w:rFonts w:ascii="Times New Roman" w:eastAsia="Times New Roman" w:hAnsi="Times New Roman" w:cs="Times New Roman"/>
          <w:i/>
          <w:sz w:val="24"/>
          <w:szCs w:val="24"/>
          <w:lang w:eastAsia="hr-HR"/>
        </w:rPr>
      </w:pPr>
    </w:p>
    <w:p w:rsidR="00814FAD" w:rsidRPr="00FB49B5" w:rsidRDefault="00814FAD" w:rsidP="009D3163">
      <w:pPr>
        <w:spacing w:after="0" w:line="240" w:lineRule="auto"/>
        <w:jc w:val="both"/>
        <w:rPr>
          <w:rFonts w:ascii="Times New Roman" w:eastAsia="Times New Roman" w:hAnsi="Times New Roman" w:cs="Times New Roman"/>
          <w:i/>
          <w:sz w:val="24"/>
          <w:szCs w:val="24"/>
          <w:lang w:eastAsia="hr-HR"/>
        </w:rPr>
      </w:pPr>
    </w:p>
    <w:p w:rsidR="00913E95" w:rsidRPr="00FB49B5" w:rsidRDefault="00765F6B" w:rsidP="009D3163">
      <w:pPr>
        <w:spacing w:after="0" w:line="240" w:lineRule="auto"/>
        <w:jc w:val="both"/>
        <w:rPr>
          <w:rFonts w:ascii="Times New Roman" w:hAnsi="Times New Roman" w:cs="Times New Roman"/>
          <w:sz w:val="24"/>
          <w:szCs w:val="24"/>
        </w:rPr>
      </w:pPr>
      <w:r w:rsidRPr="00FB49B5">
        <w:rPr>
          <w:rFonts w:ascii="Times New Roman" w:hAnsi="Times New Roman" w:cs="Times New Roman"/>
          <w:sz w:val="24"/>
          <w:szCs w:val="24"/>
        </w:rPr>
        <w:lastRenderedPageBreak/>
        <w:t>U tablici 1</w:t>
      </w:r>
      <w:r w:rsidR="00913E95" w:rsidRPr="00FB49B5">
        <w:rPr>
          <w:rFonts w:ascii="Times New Roman" w:hAnsi="Times New Roman" w:cs="Times New Roman"/>
          <w:sz w:val="24"/>
          <w:szCs w:val="24"/>
        </w:rPr>
        <w:t xml:space="preserve"> </w:t>
      </w:r>
      <w:r w:rsidR="002F4111" w:rsidRPr="00FB49B5">
        <w:rPr>
          <w:rFonts w:ascii="Times New Roman" w:hAnsi="Times New Roman" w:cs="Times New Roman"/>
          <w:sz w:val="24"/>
          <w:szCs w:val="24"/>
        </w:rPr>
        <w:t>Evidentirani</w:t>
      </w:r>
      <w:r w:rsidR="009D3163" w:rsidRPr="00FB49B5">
        <w:rPr>
          <w:rFonts w:ascii="Times New Roman" w:hAnsi="Times New Roman" w:cs="Times New Roman"/>
          <w:sz w:val="24"/>
          <w:szCs w:val="24"/>
        </w:rPr>
        <w:t xml:space="preserve"> </w:t>
      </w:r>
      <w:r w:rsidR="00E07714" w:rsidRPr="00FB49B5">
        <w:rPr>
          <w:rFonts w:ascii="Times New Roman" w:hAnsi="Times New Roman" w:cs="Times New Roman"/>
          <w:sz w:val="24"/>
          <w:szCs w:val="24"/>
        </w:rPr>
        <w:t xml:space="preserve">prihodi i </w:t>
      </w:r>
      <w:r w:rsidR="009D3163" w:rsidRPr="00FB49B5">
        <w:rPr>
          <w:rFonts w:ascii="Times New Roman" w:hAnsi="Times New Roman" w:cs="Times New Roman"/>
          <w:sz w:val="24"/>
          <w:szCs w:val="24"/>
        </w:rPr>
        <w:t xml:space="preserve">primici, rashodi i izdaci iz </w:t>
      </w:r>
      <w:r w:rsidR="00132827">
        <w:rPr>
          <w:rFonts w:ascii="Times New Roman" w:hAnsi="Times New Roman" w:cs="Times New Roman"/>
          <w:sz w:val="24"/>
          <w:szCs w:val="24"/>
        </w:rPr>
        <w:t xml:space="preserve">sredstava </w:t>
      </w:r>
      <w:r w:rsidR="009D3163" w:rsidRPr="00FB49B5">
        <w:rPr>
          <w:rFonts w:ascii="Times New Roman" w:hAnsi="Times New Roman" w:cs="Times New Roman"/>
          <w:sz w:val="24"/>
          <w:szCs w:val="24"/>
        </w:rPr>
        <w:t xml:space="preserve">Europske unije </w:t>
      </w:r>
      <w:r w:rsidR="00132827">
        <w:rPr>
          <w:rFonts w:ascii="Times New Roman" w:hAnsi="Times New Roman" w:cs="Times New Roman"/>
          <w:sz w:val="24"/>
          <w:szCs w:val="24"/>
        </w:rPr>
        <w:t xml:space="preserve">i </w:t>
      </w:r>
      <w:r w:rsidR="006F183C">
        <w:rPr>
          <w:rFonts w:ascii="Times New Roman" w:hAnsi="Times New Roman" w:cs="Times New Roman"/>
          <w:sz w:val="24"/>
          <w:szCs w:val="24"/>
        </w:rPr>
        <w:t>Mehanizma za oporavak i otpornost</w:t>
      </w:r>
      <w:r w:rsidR="009D3163" w:rsidRPr="00FB49B5">
        <w:rPr>
          <w:rFonts w:ascii="Times New Roman" w:hAnsi="Times New Roman" w:cs="Times New Roman"/>
          <w:sz w:val="24"/>
          <w:szCs w:val="24"/>
        </w:rPr>
        <w:t xml:space="preserve"> </w:t>
      </w:r>
      <w:r w:rsidR="00132827">
        <w:rPr>
          <w:rFonts w:ascii="Times New Roman" w:hAnsi="Times New Roman" w:cs="Times New Roman"/>
          <w:sz w:val="24"/>
          <w:szCs w:val="24"/>
        </w:rPr>
        <w:t xml:space="preserve">za 2025. godinu </w:t>
      </w:r>
      <w:r w:rsidR="009D3163" w:rsidRPr="00FB49B5">
        <w:rPr>
          <w:rFonts w:ascii="Times New Roman" w:hAnsi="Times New Roman" w:cs="Times New Roman"/>
          <w:sz w:val="24"/>
          <w:szCs w:val="24"/>
        </w:rPr>
        <w:t xml:space="preserve">po izvorima financiranja </w:t>
      </w:r>
      <w:r w:rsidR="00C11B5E" w:rsidRPr="00FB49B5">
        <w:rPr>
          <w:rFonts w:ascii="Times New Roman" w:hAnsi="Times New Roman" w:cs="Times New Roman"/>
          <w:sz w:val="24"/>
          <w:szCs w:val="24"/>
        </w:rPr>
        <w:t xml:space="preserve">daje se pregled podataka o evidentiranim prihodima i primicima te rashodima i izdacima </w:t>
      </w:r>
      <w:r w:rsidR="009D3163" w:rsidRPr="00FB49B5">
        <w:rPr>
          <w:rFonts w:ascii="Times New Roman" w:hAnsi="Times New Roman" w:cs="Times New Roman"/>
          <w:sz w:val="24"/>
          <w:szCs w:val="24"/>
        </w:rPr>
        <w:t xml:space="preserve">u državnom proračunu </w:t>
      </w:r>
      <w:r w:rsidR="00131256" w:rsidRPr="00FB49B5">
        <w:rPr>
          <w:rFonts w:ascii="Times New Roman" w:hAnsi="Times New Roman" w:cs="Times New Roman"/>
          <w:sz w:val="24"/>
          <w:szCs w:val="24"/>
        </w:rPr>
        <w:t>za 202</w:t>
      </w:r>
      <w:r w:rsidR="004D68B9" w:rsidRPr="00FB49B5">
        <w:rPr>
          <w:rFonts w:ascii="Times New Roman" w:hAnsi="Times New Roman" w:cs="Times New Roman"/>
          <w:sz w:val="24"/>
          <w:szCs w:val="24"/>
        </w:rPr>
        <w:t>5</w:t>
      </w:r>
      <w:r w:rsidR="00131256" w:rsidRPr="00FB49B5">
        <w:rPr>
          <w:rFonts w:ascii="Times New Roman" w:hAnsi="Times New Roman" w:cs="Times New Roman"/>
          <w:sz w:val="24"/>
          <w:szCs w:val="24"/>
        </w:rPr>
        <w:t>. godin</w:t>
      </w:r>
      <w:r w:rsidR="00F729DD">
        <w:rPr>
          <w:rFonts w:ascii="Times New Roman" w:hAnsi="Times New Roman" w:cs="Times New Roman"/>
          <w:sz w:val="24"/>
          <w:szCs w:val="24"/>
        </w:rPr>
        <w:t>u</w:t>
      </w:r>
      <w:r w:rsidR="00131256" w:rsidRPr="00FB49B5">
        <w:rPr>
          <w:rFonts w:ascii="Times New Roman" w:hAnsi="Times New Roman" w:cs="Times New Roman"/>
          <w:sz w:val="24"/>
          <w:szCs w:val="24"/>
        </w:rPr>
        <w:t xml:space="preserve"> po fondovima </w:t>
      </w:r>
      <w:r w:rsidR="00C11B5E" w:rsidRPr="00FB49B5">
        <w:rPr>
          <w:rFonts w:ascii="Times New Roman" w:hAnsi="Times New Roman" w:cs="Times New Roman"/>
          <w:sz w:val="24"/>
          <w:szCs w:val="24"/>
        </w:rPr>
        <w:t>Europske unije</w:t>
      </w:r>
      <w:r w:rsidR="007F00BC" w:rsidRPr="007F00BC">
        <w:rPr>
          <w:rFonts w:ascii="Times New Roman" w:hAnsi="Times New Roman" w:cs="Times New Roman"/>
          <w:sz w:val="24"/>
          <w:szCs w:val="24"/>
        </w:rPr>
        <w:t xml:space="preserve"> </w:t>
      </w:r>
      <w:r w:rsidR="007F00BC">
        <w:rPr>
          <w:rFonts w:ascii="Times New Roman" w:hAnsi="Times New Roman" w:cs="Times New Roman"/>
          <w:sz w:val="24"/>
          <w:szCs w:val="24"/>
        </w:rPr>
        <w:t>i Mehanizmu za oporavak i otpornost</w:t>
      </w:r>
      <w:r w:rsidR="009D3163" w:rsidRPr="00FB49B5">
        <w:rPr>
          <w:rFonts w:ascii="Times New Roman" w:hAnsi="Times New Roman" w:cs="Times New Roman"/>
          <w:sz w:val="24"/>
          <w:szCs w:val="24"/>
        </w:rPr>
        <w:t>.</w:t>
      </w:r>
      <w:r w:rsidR="00131256" w:rsidRPr="00FB49B5">
        <w:rPr>
          <w:rFonts w:ascii="Times New Roman" w:hAnsi="Times New Roman" w:cs="Times New Roman"/>
          <w:sz w:val="24"/>
          <w:szCs w:val="24"/>
        </w:rPr>
        <w:t xml:space="preserve"> </w:t>
      </w:r>
    </w:p>
    <w:p w:rsidR="00742EA7" w:rsidRPr="00FB49B5" w:rsidRDefault="00742EA7" w:rsidP="009D3163">
      <w:pPr>
        <w:spacing w:after="0" w:line="240" w:lineRule="auto"/>
        <w:jc w:val="both"/>
        <w:rPr>
          <w:rFonts w:ascii="Times New Roman" w:hAnsi="Times New Roman" w:cs="Times New Roman"/>
          <w:sz w:val="24"/>
          <w:szCs w:val="24"/>
        </w:rPr>
      </w:pPr>
    </w:p>
    <w:p w:rsidR="00742EA7" w:rsidRPr="00FB49B5" w:rsidRDefault="00742EA7" w:rsidP="009D3163">
      <w:pPr>
        <w:spacing w:after="0" w:line="240" w:lineRule="auto"/>
        <w:jc w:val="both"/>
        <w:rPr>
          <w:rFonts w:ascii="Times New Roman" w:eastAsia="Times New Roman" w:hAnsi="Times New Roman" w:cs="Times New Roman"/>
          <w:i/>
          <w:sz w:val="24"/>
          <w:szCs w:val="24"/>
          <w:lang w:eastAsia="hr-HR"/>
        </w:rPr>
      </w:pPr>
    </w:p>
    <w:p w:rsidR="00ED2606" w:rsidRPr="00FB49B5" w:rsidRDefault="00837AD9" w:rsidP="004D68B9">
      <w:pPr>
        <w:pStyle w:val="Opisslike"/>
        <w:keepNext/>
        <w:rPr>
          <w:rFonts w:ascii="Times New Roman" w:hAnsi="Times New Roman" w:cs="Times New Roman"/>
          <w:b/>
          <w:i w:val="0"/>
          <w:color w:val="auto"/>
          <w:sz w:val="24"/>
          <w:szCs w:val="24"/>
        </w:rPr>
      </w:pPr>
      <w:r w:rsidRPr="00FB49B5">
        <w:rPr>
          <w:rFonts w:ascii="Times New Roman" w:hAnsi="Times New Roman" w:cs="Times New Roman"/>
          <w:b/>
          <w:i w:val="0"/>
          <w:color w:val="auto"/>
          <w:sz w:val="24"/>
          <w:szCs w:val="24"/>
        </w:rPr>
        <w:t xml:space="preserve">Tablica </w:t>
      </w:r>
      <w:r w:rsidRPr="00FB49B5">
        <w:rPr>
          <w:rFonts w:ascii="Times New Roman" w:hAnsi="Times New Roman" w:cs="Times New Roman"/>
          <w:b/>
          <w:i w:val="0"/>
          <w:color w:val="auto"/>
          <w:sz w:val="24"/>
          <w:szCs w:val="24"/>
        </w:rPr>
        <w:fldChar w:fldCharType="begin"/>
      </w:r>
      <w:r w:rsidRPr="00FB49B5">
        <w:rPr>
          <w:rFonts w:ascii="Times New Roman" w:hAnsi="Times New Roman" w:cs="Times New Roman"/>
          <w:b/>
          <w:i w:val="0"/>
          <w:color w:val="auto"/>
          <w:sz w:val="24"/>
          <w:szCs w:val="24"/>
        </w:rPr>
        <w:instrText xml:space="preserve"> SEQ Tablica \* ARABIC </w:instrText>
      </w:r>
      <w:r w:rsidRPr="00FB49B5">
        <w:rPr>
          <w:rFonts w:ascii="Times New Roman" w:hAnsi="Times New Roman" w:cs="Times New Roman"/>
          <w:b/>
          <w:i w:val="0"/>
          <w:color w:val="auto"/>
          <w:sz w:val="24"/>
          <w:szCs w:val="24"/>
        </w:rPr>
        <w:fldChar w:fldCharType="separate"/>
      </w:r>
      <w:r w:rsidR="00763DF0">
        <w:rPr>
          <w:rFonts w:ascii="Times New Roman" w:hAnsi="Times New Roman" w:cs="Times New Roman"/>
          <w:b/>
          <w:i w:val="0"/>
          <w:noProof/>
          <w:color w:val="auto"/>
          <w:sz w:val="24"/>
          <w:szCs w:val="24"/>
        </w:rPr>
        <w:t>1</w:t>
      </w:r>
      <w:r w:rsidRPr="00FB49B5">
        <w:rPr>
          <w:rFonts w:ascii="Times New Roman" w:hAnsi="Times New Roman" w:cs="Times New Roman"/>
          <w:b/>
          <w:i w:val="0"/>
          <w:color w:val="auto"/>
          <w:sz w:val="24"/>
          <w:szCs w:val="24"/>
        </w:rPr>
        <w:fldChar w:fldCharType="end"/>
      </w:r>
      <w:r w:rsidRPr="00FB49B5">
        <w:rPr>
          <w:rFonts w:ascii="Times New Roman" w:hAnsi="Times New Roman" w:cs="Times New Roman"/>
          <w:b/>
          <w:i w:val="0"/>
          <w:color w:val="auto"/>
          <w:sz w:val="24"/>
          <w:szCs w:val="24"/>
        </w:rPr>
        <w:t xml:space="preserve">: </w:t>
      </w:r>
      <w:r w:rsidR="002F4111" w:rsidRPr="00FB49B5">
        <w:rPr>
          <w:rFonts w:ascii="Times New Roman" w:hAnsi="Times New Roman" w:cs="Times New Roman"/>
          <w:b/>
          <w:i w:val="0"/>
          <w:color w:val="auto"/>
          <w:sz w:val="24"/>
          <w:szCs w:val="24"/>
        </w:rPr>
        <w:t>Evidentirani</w:t>
      </w:r>
      <w:r w:rsidR="00BA1404" w:rsidRPr="00FB49B5">
        <w:rPr>
          <w:rFonts w:ascii="Times New Roman" w:hAnsi="Times New Roman" w:cs="Times New Roman"/>
          <w:b/>
          <w:i w:val="0"/>
          <w:color w:val="auto"/>
          <w:sz w:val="24"/>
          <w:szCs w:val="24"/>
        </w:rPr>
        <w:t xml:space="preserve"> prihodi i primici, rashodi i izdaci iz </w:t>
      </w:r>
      <w:r w:rsidR="00132827">
        <w:rPr>
          <w:rFonts w:ascii="Times New Roman" w:hAnsi="Times New Roman" w:cs="Times New Roman"/>
          <w:b/>
          <w:i w:val="0"/>
          <w:color w:val="auto"/>
          <w:sz w:val="24"/>
          <w:szCs w:val="24"/>
        </w:rPr>
        <w:t>sredstava</w:t>
      </w:r>
      <w:r w:rsidR="00BA1404" w:rsidRPr="00FB49B5">
        <w:rPr>
          <w:rFonts w:ascii="Times New Roman" w:hAnsi="Times New Roman" w:cs="Times New Roman"/>
          <w:b/>
          <w:i w:val="0"/>
          <w:color w:val="auto"/>
          <w:sz w:val="24"/>
          <w:szCs w:val="24"/>
        </w:rPr>
        <w:t xml:space="preserve"> Europske unije</w:t>
      </w:r>
      <w:r w:rsidR="005F6220">
        <w:rPr>
          <w:rFonts w:ascii="Times New Roman" w:hAnsi="Times New Roman" w:cs="Times New Roman"/>
          <w:b/>
          <w:i w:val="0"/>
          <w:color w:val="auto"/>
          <w:sz w:val="24"/>
          <w:szCs w:val="24"/>
        </w:rPr>
        <w:t xml:space="preserve"> i</w:t>
      </w:r>
      <w:r w:rsidR="00BA1404" w:rsidRPr="00FB49B5">
        <w:rPr>
          <w:rFonts w:ascii="Times New Roman" w:hAnsi="Times New Roman" w:cs="Times New Roman"/>
          <w:b/>
          <w:i w:val="0"/>
          <w:color w:val="auto"/>
          <w:sz w:val="24"/>
          <w:szCs w:val="24"/>
        </w:rPr>
        <w:t xml:space="preserve"> </w:t>
      </w:r>
      <w:r w:rsidR="007F00BC" w:rsidRPr="007F00BC">
        <w:rPr>
          <w:rFonts w:ascii="Times New Roman" w:hAnsi="Times New Roman" w:cs="Times New Roman"/>
          <w:b/>
          <w:i w:val="0"/>
          <w:color w:val="auto"/>
          <w:sz w:val="24"/>
          <w:szCs w:val="24"/>
        </w:rPr>
        <w:t xml:space="preserve">Mehanizma za oporavak i otpornost </w:t>
      </w:r>
      <w:r w:rsidR="00BA1404" w:rsidRPr="00FB49B5">
        <w:rPr>
          <w:rFonts w:ascii="Times New Roman" w:hAnsi="Times New Roman" w:cs="Times New Roman"/>
          <w:b/>
          <w:i w:val="0"/>
          <w:color w:val="auto"/>
          <w:sz w:val="24"/>
          <w:szCs w:val="24"/>
        </w:rPr>
        <w:t xml:space="preserve">za </w:t>
      </w:r>
      <w:r w:rsidR="001A45C1" w:rsidRPr="00FB49B5">
        <w:rPr>
          <w:rFonts w:ascii="Times New Roman" w:hAnsi="Times New Roman" w:cs="Times New Roman"/>
          <w:b/>
          <w:i w:val="0"/>
          <w:color w:val="auto"/>
          <w:sz w:val="24"/>
          <w:szCs w:val="24"/>
        </w:rPr>
        <w:t>202</w:t>
      </w:r>
      <w:r w:rsidR="004D68B9" w:rsidRPr="00FB49B5">
        <w:rPr>
          <w:rFonts w:ascii="Times New Roman" w:hAnsi="Times New Roman" w:cs="Times New Roman"/>
          <w:b/>
          <w:i w:val="0"/>
          <w:color w:val="auto"/>
          <w:sz w:val="24"/>
          <w:szCs w:val="24"/>
        </w:rPr>
        <w:t>5</w:t>
      </w:r>
      <w:r w:rsidR="001A45C1" w:rsidRPr="00FB49B5">
        <w:rPr>
          <w:rFonts w:ascii="Times New Roman" w:hAnsi="Times New Roman" w:cs="Times New Roman"/>
          <w:b/>
          <w:i w:val="0"/>
          <w:color w:val="auto"/>
          <w:sz w:val="24"/>
          <w:szCs w:val="24"/>
        </w:rPr>
        <w:t>.</w:t>
      </w:r>
      <w:r w:rsidR="00BA1404" w:rsidRPr="00FB49B5">
        <w:rPr>
          <w:rFonts w:ascii="Times New Roman" w:hAnsi="Times New Roman" w:cs="Times New Roman"/>
          <w:b/>
          <w:i w:val="0"/>
          <w:color w:val="auto"/>
          <w:sz w:val="24"/>
          <w:szCs w:val="24"/>
        </w:rPr>
        <w:t xml:space="preserve"> godinu </w:t>
      </w:r>
      <w:r w:rsidR="002E0199" w:rsidRPr="00FB49B5">
        <w:rPr>
          <w:rFonts w:ascii="Times New Roman" w:hAnsi="Times New Roman" w:cs="Times New Roman"/>
          <w:b/>
          <w:i w:val="0"/>
          <w:color w:val="auto"/>
          <w:sz w:val="24"/>
          <w:szCs w:val="24"/>
        </w:rPr>
        <w:t>po izvorima financiranja</w:t>
      </w:r>
    </w:p>
    <w:p w:rsidR="00BC217D" w:rsidRPr="00FB49B5" w:rsidRDefault="00322374" w:rsidP="00506C7D">
      <w:pPr>
        <w:rPr>
          <w:rFonts w:ascii="Times New Roman" w:eastAsia="Times New Roman" w:hAnsi="Times New Roman" w:cs="Times New Roman"/>
          <w:b/>
          <w:bCs/>
          <w:sz w:val="24"/>
          <w:szCs w:val="24"/>
          <w:lang w:eastAsia="hr-HR"/>
        </w:rPr>
      </w:pPr>
      <w:r w:rsidRPr="00FB49B5">
        <w:rPr>
          <w:noProof/>
          <w:lang w:eastAsia="hr-HR"/>
        </w:rPr>
        <w:drawing>
          <wp:inline distT="0" distB="0" distL="0" distR="0" wp14:anchorId="140F90EF" wp14:editId="3437DE0B">
            <wp:extent cx="5760720" cy="4139299"/>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139299"/>
                    </a:xfrm>
                    <a:prstGeom prst="rect">
                      <a:avLst/>
                    </a:prstGeom>
                    <a:noFill/>
                    <a:ln>
                      <a:noFill/>
                    </a:ln>
                  </pic:spPr>
                </pic:pic>
              </a:graphicData>
            </a:graphic>
          </wp:inline>
        </w:drawing>
      </w:r>
    </w:p>
    <w:p w:rsidR="003A580F" w:rsidRPr="00FB49B5" w:rsidRDefault="003A580F" w:rsidP="00506C7D">
      <w:pPr>
        <w:rPr>
          <w:rFonts w:ascii="Times New Roman" w:eastAsia="Times New Roman" w:hAnsi="Times New Roman" w:cs="Times New Roman"/>
          <w:b/>
          <w:bCs/>
          <w:sz w:val="24"/>
          <w:szCs w:val="24"/>
          <w:lang w:eastAsia="hr-HR"/>
        </w:rPr>
      </w:pPr>
    </w:p>
    <w:p w:rsidR="008F4F49" w:rsidRPr="00FB49B5" w:rsidRDefault="008F4F49" w:rsidP="008F4F49">
      <w:pPr>
        <w:rPr>
          <w:rFonts w:ascii="Times New Roman" w:hAnsi="Times New Roman" w:cs="Times New Roman"/>
        </w:rPr>
      </w:pPr>
      <w:r w:rsidRPr="00FB49B5">
        <w:rPr>
          <w:rFonts w:ascii="Times New Roman" w:eastAsia="Times New Roman" w:hAnsi="Times New Roman" w:cs="Times New Roman"/>
          <w:b/>
          <w:bCs/>
          <w:sz w:val="24"/>
          <w:szCs w:val="24"/>
          <w:lang w:eastAsia="hr-HR"/>
        </w:rPr>
        <w:t>Metodologija iskazivanja podataka o korištenju sredstava Europske unije te podaci o stanju potraživanja i obveza iz fondova Europske unije</w:t>
      </w:r>
    </w:p>
    <w:p w:rsidR="00814FAD" w:rsidRDefault="00814FAD" w:rsidP="00814FAD">
      <w:pPr>
        <w:jc w:val="both"/>
        <w:rPr>
          <w:rFonts w:ascii="Times New Roman" w:eastAsia="Times New Roman" w:hAnsi="Times New Roman" w:cs="Times New Roman"/>
          <w:sz w:val="24"/>
          <w:szCs w:val="24"/>
          <w:lang w:eastAsia="hr-HR"/>
        </w:rPr>
      </w:pPr>
      <w:r w:rsidRPr="00783818">
        <w:rPr>
          <w:rFonts w:ascii="Times New Roman" w:eastAsia="Times New Roman" w:hAnsi="Times New Roman" w:cs="Times New Roman"/>
          <w:sz w:val="24"/>
          <w:szCs w:val="24"/>
          <w:lang w:eastAsia="hr-HR"/>
        </w:rPr>
        <w:t>Od 1. siječnja 2025.</w:t>
      </w:r>
      <w:r w:rsidR="007666BD">
        <w:rPr>
          <w:rFonts w:ascii="Times New Roman" w:eastAsia="Times New Roman" w:hAnsi="Times New Roman" w:cs="Times New Roman"/>
          <w:sz w:val="24"/>
          <w:szCs w:val="24"/>
          <w:lang w:eastAsia="hr-HR"/>
        </w:rPr>
        <w:t xml:space="preserve"> godine</w:t>
      </w:r>
      <w:r w:rsidRPr="00783818">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u primjeni je</w:t>
      </w:r>
      <w:r w:rsidRPr="00783818">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 xml:space="preserve">nova </w:t>
      </w:r>
      <w:r w:rsidRPr="00783818">
        <w:rPr>
          <w:rFonts w:ascii="Times New Roman" w:eastAsia="Times New Roman" w:hAnsi="Times New Roman" w:cs="Times New Roman"/>
          <w:sz w:val="24"/>
          <w:szCs w:val="24"/>
          <w:lang w:eastAsia="hr-HR"/>
        </w:rPr>
        <w:t>metodologija priznavanja prihoda od EU pomoći. Naime,</w:t>
      </w:r>
      <w:r>
        <w:rPr>
          <w:rFonts w:ascii="Times New Roman" w:eastAsia="Times New Roman" w:hAnsi="Times New Roman" w:cs="Times New Roman"/>
          <w:sz w:val="24"/>
          <w:szCs w:val="24"/>
          <w:lang w:eastAsia="hr-HR"/>
        </w:rPr>
        <w:t xml:space="preserve"> prema prethodno važećoj metodologiji, odnosno do </w:t>
      </w:r>
      <w:r w:rsidRPr="00A5457E">
        <w:rPr>
          <w:rFonts w:ascii="Times New Roman" w:eastAsia="Times New Roman" w:hAnsi="Times New Roman" w:cs="Times New Roman"/>
          <w:sz w:val="24"/>
          <w:szCs w:val="24"/>
          <w:lang w:eastAsia="hr-HR"/>
        </w:rPr>
        <w:t xml:space="preserve">kraja 2024. prihode od pomoći od institucija i tijela EU u okviru podskupine 632 </w:t>
      </w:r>
      <w:r w:rsidRPr="00A5457E">
        <w:rPr>
          <w:rFonts w:ascii="Times New Roman" w:eastAsia="Times New Roman" w:hAnsi="Times New Roman" w:cs="Times New Roman"/>
          <w:i/>
          <w:sz w:val="24"/>
          <w:szCs w:val="24"/>
          <w:lang w:eastAsia="hr-HR"/>
        </w:rPr>
        <w:t>Pomoći od međunarodnih organizacija te institucija i tijela EU</w:t>
      </w:r>
      <w:r w:rsidRPr="00A5457E">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iskazivali</w:t>
      </w:r>
      <w:r w:rsidRPr="00A5457E">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 xml:space="preserve">su </w:t>
      </w:r>
      <w:r w:rsidRPr="00A5457E">
        <w:rPr>
          <w:rFonts w:ascii="Times New Roman" w:eastAsia="Times New Roman" w:hAnsi="Times New Roman" w:cs="Times New Roman"/>
          <w:sz w:val="24"/>
          <w:szCs w:val="24"/>
          <w:lang w:eastAsia="hr-HR"/>
        </w:rPr>
        <w:t>proračuns</w:t>
      </w:r>
      <w:r>
        <w:rPr>
          <w:rFonts w:ascii="Times New Roman" w:eastAsia="Times New Roman" w:hAnsi="Times New Roman" w:cs="Times New Roman"/>
          <w:sz w:val="24"/>
          <w:szCs w:val="24"/>
          <w:lang w:eastAsia="hr-HR"/>
        </w:rPr>
        <w:t>ki korisnici državnog proračuna</w:t>
      </w:r>
      <w:r w:rsidRPr="00A5457E">
        <w:rPr>
          <w:rFonts w:ascii="Times New Roman" w:eastAsia="Times New Roman" w:hAnsi="Times New Roman" w:cs="Times New Roman"/>
          <w:sz w:val="24"/>
          <w:szCs w:val="24"/>
          <w:lang w:eastAsia="hr-HR"/>
        </w:rPr>
        <w:t xml:space="preserve"> razmjerno troškovima provedbe ugovorenih programa i projekata</w:t>
      </w:r>
      <w:r>
        <w:rPr>
          <w:rFonts w:ascii="Times New Roman" w:eastAsia="Times New Roman" w:hAnsi="Times New Roman" w:cs="Times New Roman"/>
          <w:sz w:val="24"/>
          <w:szCs w:val="24"/>
          <w:lang w:eastAsia="hr-HR"/>
        </w:rPr>
        <w:t>.</w:t>
      </w:r>
    </w:p>
    <w:p w:rsidR="00814FAD" w:rsidRDefault="00814FAD" w:rsidP="00814FAD">
      <w:pPr>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U skladu s novom metodologijom priznavanja prihoda od EU pomoći, prihod u okviru podskupine 632</w:t>
      </w:r>
      <w:r w:rsidRPr="009C077E">
        <w:rPr>
          <w:rFonts w:ascii="Times New Roman" w:eastAsia="Times New Roman" w:hAnsi="Times New Roman" w:cs="Times New Roman"/>
          <w:i/>
          <w:sz w:val="24"/>
          <w:szCs w:val="24"/>
          <w:lang w:eastAsia="hr-HR"/>
        </w:rPr>
        <w:t xml:space="preserve"> </w:t>
      </w:r>
      <w:r w:rsidRPr="00A5457E">
        <w:rPr>
          <w:rFonts w:ascii="Times New Roman" w:eastAsia="Times New Roman" w:hAnsi="Times New Roman" w:cs="Times New Roman"/>
          <w:i/>
          <w:sz w:val="24"/>
          <w:szCs w:val="24"/>
          <w:lang w:eastAsia="hr-HR"/>
        </w:rPr>
        <w:t>Pomoći od međunarodnih organizacija te institucija i tijela EU</w:t>
      </w:r>
      <w:r>
        <w:rPr>
          <w:rFonts w:ascii="Times New Roman" w:eastAsia="Times New Roman" w:hAnsi="Times New Roman" w:cs="Times New Roman"/>
          <w:i/>
          <w:sz w:val="24"/>
          <w:szCs w:val="24"/>
          <w:lang w:eastAsia="hr-HR"/>
        </w:rPr>
        <w:t xml:space="preserve"> </w:t>
      </w:r>
      <w:r>
        <w:rPr>
          <w:rFonts w:ascii="Times New Roman" w:eastAsia="Times New Roman" w:hAnsi="Times New Roman" w:cs="Times New Roman"/>
          <w:sz w:val="24"/>
          <w:szCs w:val="24"/>
          <w:lang w:eastAsia="hr-HR"/>
        </w:rPr>
        <w:t>mogu iskazati isključivo Državni proračun</w:t>
      </w:r>
      <w:r w:rsidRPr="009C077E">
        <w:t xml:space="preserve"> </w:t>
      </w:r>
      <w:r>
        <w:rPr>
          <w:rFonts w:ascii="Times New Roman" w:eastAsia="Times New Roman" w:hAnsi="Times New Roman" w:cs="Times New Roman"/>
          <w:sz w:val="24"/>
          <w:szCs w:val="24"/>
          <w:lang w:eastAsia="hr-HR"/>
        </w:rPr>
        <w:t>kojem Europska komisija</w:t>
      </w:r>
      <w:r w:rsidRPr="009C077E">
        <w:rPr>
          <w:rFonts w:ascii="Times New Roman" w:eastAsia="Times New Roman" w:hAnsi="Times New Roman" w:cs="Times New Roman"/>
          <w:sz w:val="24"/>
          <w:szCs w:val="24"/>
          <w:lang w:eastAsia="hr-HR"/>
        </w:rPr>
        <w:t xml:space="preserve"> iz</w:t>
      </w:r>
      <w:r>
        <w:rPr>
          <w:rFonts w:ascii="Times New Roman" w:eastAsia="Times New Roman" w:hAnsi="Times New Roman" w:cs="Times New Roman"/>
          <w:sz w:val="24"/>
          <w:szCs w:val="24"/>
          <w:lang w:eastAsia="hr-HR"/>
        </w:rPr>
        <w:t xml:space="preserve">ravno </w:t>
      </w:r>
      <w:r w:rsidRPr="009C077E">
        <w:rPr>
          <w:rFonts w:ascii="Times New Roman" w:eastAsia="Times New Roman" w:hAnsi="Times New Roman" w:cs="Times New Roman"/>
          <w:sz w:val="24"/>
          <w:szCs w:val="24"/>
          <w:lang w:eastAsia="hr-HR"/>
        </w:rPr>
        <w:t>doznačava sredstva na jedin</w:t>
      </w:r>
      <w:r>
        <w:rPr>
          <w:rFonts w:ascii="Times New Roman" w:eastAsia="Times New Roman" w:hAnsi="Times New Roman" w:cs="Times New Roman"/>
          <w:sz w:val="24"/>
          <w:szCs w:val="24"/>
          <w:lang w:eastAsia="hr-HR"/>
        </w:rPr>
        <w:t>stveni račun državnog proračuna</w:t>
      </w:r>
      <w:r w:rsidRPr="009C077E">
        <w:t xml:space="preserve"> </w:t>
      </w:r>
      <w:r w:rsidRPr="009C077E">
        <w:rPr>
          <w:rFonts w:ascii="Times New Roman" w:eastAsia="Times New Roman" w:hAnsi="Times New Roman" w:cs="Times New Roman"/>
          <w:sz w:val="24"/>
          <w:szCs w:val="24"/>
          <w:lang w:eastAsia="hr-HR"/>
        </w:rPr>
        <w:t>za Mehanizam za opravak i otpornost i programe podijeljenog upravljanja</w:t>
      </w:r>
      <w:r>
        <w:rPr>
          <w:rFonts w:ascii="Times New Roman" w:eastAsia="Times New Roman" w:hAnsi="Times New Roman" w:cs="Times New Roman"/>
          <w:sz w:val="24"/>
          <w:szCs w:val="24"/>
          <w:lang w:eastAsia="hr-HR"/>
        </w:rPr>
        <w:t xml:space="preserve">, </w:t>
      </w:r>
      <w:r w:rsidRPr="009C077E">
        <w:rPr>
          <w:rFonts w:ascii="Times New Roman" w:eastAsia="Times New Roman" w:hAnsi="Times New Roman" w:cs="Times New Roman"/>
          <w:sz w:val="24"/>
          <w:szCs w:val="24"/>
          <w:lang w:eastAsia="hr-HR"/>
        </w:rPr>
        <w:t xml:space="preserve">Agencija za mobilnost i programe EU </w:t>
      </w:r>
      <w:r>
        <w:rPr>
          <w:rFonts w:ascii="Times New Roman" w:eastAsia="Times New Roman" w:hAnsi="Times New Roman" w:cs="Times New Roman"/>
          <w:sz w:val="24"/>
          <w:szCs w:val="24"/>
          <w:lang w:eastAsia="hr-HR"/>
        </w:rPr>
        <w:t>kojoj Europska komisija izravno doznačava sredstava na račun</w:t>
      </w:r>
      <w:r w:rsidRPr="009C077E">
        <w:t xml:space="preserve"> </w:t>
      </w:r>
      <w:r w:rsidRPr="009C077E">
        <w:rPr>
          <w:rFonts w:ascii="Times New Roman" w:eastAsia="Times New Roman" w:hAnsi="Times New Roman" w:cs="Times New Roman"/>
          <w:sz w:val="24"/>
          <w:szCs w:val="24"/>
          <w:lang w:eastAsia="hr-HR"/>
        </w:rPr>
        <w:t>za program ERASMUS+ i Europske snage solidarnosti</w:t>
      </w:r>
      <w:r>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lastRenderedPageBreak/>
        <w:t>te oni proračunski korisnici državnog proračuna koji su korisnici</w:t>
      </w:r>
      <w:r w:rsidRPr="009C077E">
        <w:rPr>
          <w:rFonts w:ascii="Times New Roman" w:eastAsia="Times New Roman" w:hAnsi="Times New Roman" w:cs="Times New Roman"/>
          <w:sz w:val="24"/>
          <w:szCs w:val="24"/>
          <w:lang w:eastAsia="hr-HR"/>
        </w:rPr>
        <w:t xml:space="preserve"> projek</w:t>
      </w:r>
      <w:r>
        <w:rPr>
          <w:rFonts w:ascii="Times New Roman" w:eastAsia="Times New Roman" w:hAnsi="Times New Roman" w:cs="Times New Roman"/>
          <w:sz w:val="24"/>
          <w:szCs w:val="24"/>
          <w:lang w:eastAsia="hr-HR"/>
        </w:rPr>
        <w:t>a</w:t>
      </w:r>
      <w:r w:rsidRPr="009C077E">
        <w:rPr>
          <w:rFonts w:ascii="Times New Roman" w:eastAsia="Times New Roman" w:hAnsi="Times New Roman" w:cs="Times New Roman"/>
          <w:sz w:val="24"/>
          <w:szCs w:val="24"/>
          <w:lang w:eastAsia="hr-HR"/>
        </w:rPr>
        <w:t>ta iz izravno</w:t>
      </w:r>
      <w:r>
        <w:rPr>
          <w:rFonts w:ascii="Times New Roman" w:eastAsia="Times New Roman" w:hAnsi="Times New Roman" w:cs="Times New Roman"/>
          <w:sz w:val="24"/>
          <w:szCs w:val="24"/>
          <w:lang w:eastAsia="hr-HR"/>
        </w:rPr>
        <w:t xml:space="preserve"> upravljanih programa za koje Europska komisija</w:t>
      </w:r>
      <w:r w:rsidRPr="009C077E">
        <w:rPr>
          <w:rFonts w:ascii="Times New Roman" w:eastAsia="Times New Roman" w:hAnsi="Times New Roman" w:cs="Times New Roman"/>
          <w:sz w:val="24"/>
          <w:szCs w:val="24"/>
          <w:lang w:eastAsia="hr-HR"/>
        </w:rPr>
        <w:t xml:space="preserve"> izra</w:t>
      </w:r>
      <w:r>
        <w:rPr>
          <w:rFonts w:ascii="Times New Roman" w:eastAsia="Times New Roman" w:hAnsi="Times New Roman" w:cs="Times New Roman"/>
          <w:sz w:val="24"/>
          <w:szCs w:val="24"/>
          <w:lang w:eastAsia="hr-HR"/>
        </w:rPr>
        <w:t>vno doznačava</w:t>
      </w:r>
      <w:r w:rsidR="00F729DD">
        <w:rPr>
          <w:rFonts w:ascii="Times New Roman" w:eastAsia="Times New Roman" w:hAnsi="Times New Roman" w:cs="Times New Roman"/>
          <w:sz w:val="24"/>
          <w:szCs w:val="24"/>
          <w:lang w:eastAsia="hr-HR"/>
        </w:rPr>
        <w:t xml:space="preserve"> sredstva</w:t>
      </w:r>
      <w:r>
        <w:rPr>
          <w:rFonts w:ascii="Times New Roman" w:eastAsia="Times New Roman" w:hAnsi="Times New Roman" w:cs="Times New Roman"/>
          <w:sz w:val="24"/>
          <w:szCs w:val="24"/>
          <w:lang w:eastAsia="hr-HR"/>
        </w:rPr>
        <w:t>.</w:t>
      </w:r>
    </w:p>
    <w:p w:rsidR="00814FAD" w:rsidRDefault="00814FAD" w:rsidP="00814FAD">
      <w:pPr>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Slijedom navedenog, uplate iz proračuna EU u Državni proračun RH, ovisno o namjeni, evidentiraju se kao:</w:t>
      </w:r>
    </w:p>
    <w:p w:rsidR="00814FAD" w:rsidRDefault="00814FAD" w:rsidP="00814FAD">
      <w:pPr>
        <w:pStyle w:val="Odlomakpopisa"/>
        <w:numPr>
          <w:ilvl w:val="0"/>
          <w:numId w:val="4"/>
        </w:numPr>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predujam</w:t>
      </w:r>
      <w:r w:rsidRPr="00CB525A">
        <w:rPr>
          <w:rFonts w:ascii="Times New Roman" w:eastAsia="Times New Roman" w:hAnsi="Times New Roman" w:cs="Times New Roman"/>
          <w:sz w:val="24"/>
          <w:szCs w:val="24"/>
          <w:lang w:eastAsia="hr-HR"/>
        </w:rPr>
        <w:t xml:space="preserve"> koji se u trenutku uplate evidentira kao obveza na osnovnom računu 27511 </w:t>
      </w:r>
      <w:r w:rsidRPr="00CB525A">
        <w:rPr>
          <w:rFonts w:ascii="Times New Roman" w:eastAsia="Times New Roman" w:hAnsi="Times New Roman" w:cs="Times New Roman"/>
          <w:i/>
          <w:sz w:val="24"/>
          <w:szCs w:val="24"/>
          <w:lang w:eastAsia="hr-HR"/>
        </w:rPr>
        <w:t>Obveze za EU predujmove</w:t>
      </w:r>
      <w:r>
        <w:rPr>
          <w:rFonts w:ascii="Times New Roman" w:eastAsia="Times New Roman" w:hAnsi="Times New Roman" w:cs="Times New Roman"/>
          <w:sz w:val="24"/>
          <w:szCs w:val="24"/>
          <w:lang w:eastAsia="hr-HR"/>
        </w:rPr>
        <w:t>,</w:t>
      </w:r>
    </w:p>
    <w:p w:rsidR="00814FAD" w:rsidRDefault="00814FAD" w:rsidP="00814FAD">
      <w:pPr>
        <w:pStyle w:val="Odlomakpopisa"/>
        <w:numPr>
          <w:ilvl w:val="0"/>
          <w:numId w:val="4"/>
        </w:numPr>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unaprijed naplaćen prihod koji se u trenutku uplate evidentira u okviru</w:t>
      </w:r>
      <w:r w:rsidRPr="00CB525A">
        <w:rPr>
          <w:rFonts w:ascii="Times New Roman" w:eastAsia="Times New Roman" w:hAnsi="Times New Roman" w:cs="Times New Roman"/>
          <w:sz w:val="24"/>
          <w:szCs w:val="24"/>
          <w:lang w:eastAsia="hr-HR"/>
        </w:rPr>
        <w:t xml:space="preserve"> skupine 29 </w:t>
      </w:r>
      <w:r w:rsidRPr="00CB525A">
        <w:rPr>
          <w:rFonts w:ascii="Times New Roman" w:eastAsia="Times New Roman" w:hAnsi="Times New Roman" w:cs="Times New Roman"/>
          <w:i/>
          <w:sz w:val="24"/>
          <w:szCs w:val="24"/>
          <w:lang w:eastAsia="hr-HR"/>
        </w:rPr>
        <w:t>Odgođeno plaćanje rashoda i prihodi budućih razdoblja</w:t>
      </w:r>
      <w:r>
        <w:rPr>
          <w:rFonts w:ascii="Times New Roman" w:eastAsia="Times New Roman" w:hAnsi="Times New Roman" w:cs="Times New Roman"/>
          <w:sz w:val="24"/>
          <w:szCs w:val="24"/>
          <w:lang w:eastAsia="hr-HR"/>
        </w:rPr>
        <w:t>, a odnosi se na unaprijed naplaćena sredstva</w:t>
      </w:r>
      <w:r w:rsidRPr="00CB525A">
        <w:rPr>
          <w:rFonts w:ascii="Times New Roman" w:eastAsia="Times New Roman" w:hAnsi="Times New Roman" w:cs="Times New Roman"/>
          <w:sz w:val="24"/>
          <w:szCs w:val="24"/>
          <w:lang w:eastAsia="hr-HR"/>
        </w:rPr>
        <w:t xml:space="preserve"> iz </w:t>
      </w:r>
      <w:r>
        <w:rPr>
          <w:rFonts w:ascii="Times New Roman" w:eastAsia="Times New Roman" w:hAnsi="Times New Roman" w:cs="Times New Roman"/>
          <w:sz w:val="24"/>
          <w:szCs w:val="24"/>
          <w:lang w:eastAsia="hr-HR"/>
        </w:rPr>
        <w:t>Mehanizma za oporavak i otpornost koja se</w:t>
      </w:r>
      <w:r w:rsidRPr="00CB525A">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RH uplaćuju</w:t>
      </w:r>
      <w:r w:rsidRPr="00CB525A">
        <w:rPr>
          <w:rFonts w:ascii="Times New Roman" w:eastAsia="Times New Roman" w:hAnsi="Times New Roman" w:cs="Times New Roman"/>
          <w:sz w:val="24"/>
          <w:szCs w:val="24"/>
          <w:lang w:eastAsia="hr-HR"/>
        </w:rPr>
        <w:t xml:space="preserve"> u obliku preduj</w:t>
      </w:r>
      <w:r>
        <w:rPr>
          <w:rFonts w:ascii="Times New Roman" w:eastAsia="Times New Roman" w:hAnsi="Times New Roman" w:cs="Times New Roman"/>
          <w:sz w:val="24"/>
          <w:szCs w:val="24"/>
          <w:lang w:eastAsia="hr-HR"/>
        </w:rPr>
        <w:t>ma i tranši bespovratne pomoći,</w:t>
      </w:r>
    </w:p>
    <w:p w:rsidR="00814FAD" w:rsidRDefault="00814FAD" w:rsidP="00814FAD">
      <w:pPr>
        <w:pStyle w:val="Odlomakpopisa"/>
        <w:numPr>
          <w:ilvl w:val="0"/>
          <w:numId w:val="4"/>
        </w:numPr>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refundacija</w:t>
      </w:r>
      <w:r w:rsidRPr="00CB525A">
        <w:rPr>
          <w:rFonts w:ascii="Times New Roman" w:eastAsia="Times New Roman" w:hAnsi="Times New Roman" w:cs="Times New Roman"/>
          <w:sz w:val="24"/>
          <w:szCs w:val="24"/>
          <w:lang w:eastAsia="hr-HR"/>
        </w:rPr>
        <w:t xml:space="preserve"> iz proračuna EU </w:t>
      </w:r>
      <w:r>
        <w:rPr>
          <w:rFonts w:ascii="Times New Roman" w:eastAsia="Times New Roman" w:hAnsi="Times New Roman" w:cs="Times New Roman"/>
          <w:sz w:val="24"/>
          <w:szCs w:val="24"/>
          <w:lang w:eastAsia="hr-HR"/>
        </w:rPr>
        <w:t>koja</w:t>
      </w:r>
      <w:r w:rsidRPr="00CB525A">
        <w:rPr>
          <w:rFonts w:ascii="Times New Roman" w:eastAsia="Times New Roman" w:hAnsi="Times New Roman" w:cs="Times New Roman"/>
          <w:sz w:val="24"/>
          <w:szCs w:val="24"/>
          <w:lang w:eastAsia="hr-HR"/>
        </w:rPr>
        <w:t xml:space="preserve"> s</w:t>
      </w:r>
      <w:r>
        <w:rPr>
          <w:rFonts w:ascii="Times New Roman" w:eastAsia="Times New Roman" w:hAnsi="Times New Roman" w:cs="Times New Roman"/>
          <w:sz w:val="24"/>
          <w:szCs w:val="24"/>
          <w:lang w:eastAsia="hr-HR"/>
        </w:rPr>
        <w:t>e u trenutku uplate evidentira kao prihod</w:t>
      </w:r>
      <w:r w:rsidRPr="00CB525A">
        <w:rPr>
          <w:rFonts w:ascii="Times New Roman" w:eastAsia="Times New Roman" w:hAnsi="Times New Roman" w:cs="Times New Roman"/>
          <w:sz w:val="24"/>
          <w:szCs w:val="24"/>
          <w:lang w:eastAsia="hr-HR"/>
        </w:rPr>
        <w:t xml:space="preserve"> u okviru</w:t>
      </w:r>
      <w:r>
        <w:rPr>
          <w:rFonts w:ascii="Times New Roman" w:eastAsia="Times New Roman" w:hAnsi="Times New Roman" w:cs="Times New Roman"/>
          <w:sz w:val="24"/>
          <w:szCs w:val="24"/>
          <w:lang w:eastAsia="hr-HR"/>
        </w:rPr>
        <w:t xml:space="preserve"> podskupine 632 </w:t>
      </w:r>
      <w:r w:rsidRPr="00A5457E">
        <w:rPr>
          <w:rFonts w:ascii="Times New Roman" w:eastAsia="Times New Roman" w:hAnsi="Times New Roman" w:cs="Times New Roman"/>
          <w:i/>
          <w:sz w:val="24"/>
          <w:szCs w:val="24"/>
          <w:lang w:eastAsia="hr-HR"/>
        </w:rPr>
        <w:t>Pomoći od međunarodnih organizacija te institucija i tijela EU</w:t>
      </w:r>
      <w:r>
        <w:rPr>
          <w:rFonts w:ascii="Times New Roman" w:eastAsia="Times New Roman" w:hAnsi="Times New Roman" w:cs="Times New Roman"/>
          <w:sz w:val="24"/>
          <w:szCs w:val="24"/>
          <w:lang w:eastAsia="hr-HR"/>
        </w:rPr>
        <w:t>.</w:t>
      </w:r>
    </w:p>
    <w:p w:rsidR="00814FAD" w:rsidRPr="00150250" w:rsidRDefault="00814FAD" w:rsidP="00814FAD">
      <w:pPr>
        <w:jc w:val="both"/>
        <w:rPr>
          <w:rFonts w:ascii="Times New Roman" w:eastAsia="Times New Roman" w:hAnsi="Times New Roman" w:cs="Times New Roman"/>
          <w:sz w:val="24"/>
          <w:szCs w:val="24"/>
          <w:lang w:eastAsia="hr-HR"/>
        </w:rPr>
      </w:pPr>
      <w:r w:rsidRPr="00150250">
        <w:rPr>
          <w:rFonts w:ascii="Times New Roman" w:eastAsia="Times New Roman" w:hAnsi="Times New Roman" w:cs="Times New Roman"/>
          <w:sz w:val="24"/>
          <w:szCs w:val="24"/>
          <w:lang w:eastAsia="hr-HR"/>
        </w:rPr>
        <w:t xml:space="preserve">Na dan 31. prosinca 2025. godine na računu 27511 </w:t>
      </w:r>
      <w:r w:rsidRPr="00150250">
        <w:rPr>
          <w:rFonts w:ascii="Times New Roman" w:eastAsia="Times New Roman" w:hAnsi="Times New Roman" w:cs="Times New Roman"/>
          <w:i/>
          <w:sz w:val="24"/>
          <w:szCs w:val="24"/>
          <w:lang w:eastAsia="hr-HR"/>
        </w:rPr>
        <w:t>Obveze za EU predujmove</w:t>
      </w:r>
      <w:r w:rsidRPr="00150250">
        <w:rPr>
          <w:rFonts w:ascii="Times New Roman" w:eastAsia="Times New Roman" w:hAnsi="Times New Roman" w:cs="Times New Roman"/>
          <w:sz w:val="24"/>
          <w:szCs w:val="24"/>
          <w:lang w:eastAsia="hr-HR"/>
        </w:rPr>
        <w:t xml:space="preserve"> iskazan</w:t>
      </w:r>
      <w:r>
        <w:rPr>
          <w:rFonts w:ascii="Times New Roman" w:eastAsia="Times New Roman" w:hAnsi="Times New Roman" w:cs="Times New Roman"/>
          <w:sz w:val="24"/>
          <w:szCs w:val="24"/>
          <w:lang w:eastAsia="hr-HR"/>
        </w:rPr>
        <w:t xml:space="preserve">o je ukupno 327.544.404,47 eura, a </w:t>
      </w:r>
      <w:r w:rsidRPr="00150250">
        <w:rPr>
          <w:rFonts w:ascii="Times New Roman" w:eastAsia="Times New Roman" w:hAnsi="Times New Roman" w:cs="Times New Roman"/>
          <w:bCs/>
          <w:sz w:val="24"/>
          <w:szCs w:val="24"/>
          <w:lang w:eastAsia="hr-HR"/>
        </w:rPr>
        <w:t xml:space="preserve">u okviru skupine 29 </w:t>
      </w:r>
      <w:r w:rsidRPr="00150250">
        <w:rPr>
          <w:rFonts w:ascii="Times New Roman" w:eastAsia="Times New Roman" w:hAnsi="Times New Roman" w:cs="Times New Roman"/>
          <w:bCs/>
          <w:i/>
          <w:sz w:val="24"/>
          <w:szCs w:val="24"/>
          <w:lang w:eastAsia="hr-HR"/>
        </w:rPr>
        <w:t>Odgođeno plaćanje rashoda i prihodi budućih razdoblja</w:t>
      </w:r>
      <w:r w:rsidRPr="00150250">
        <w:rPr>
          <w:rFonts w:ascii="Times New Roman" w:eastAsia="Times New Roman" w:hAnsi="Times New Roman" w:cs="Times New Roman"/>
          <w:bCs/>
          <w:sz w:val="24"/>
          <w:szCs w:val="24"/>
          <w:lang w:eastAsia="hr-HR"/>
        </w:rPr>
        <w:t xml:space="preserve"> i</w:t>
      </w:r>
      <w:r>
        <w:rPr>
          <w:rFonts w:ascii="Times New Roman" w:eastAsia="Times New Roman" w:hAnsi="Times New Roman" w:cs="Times New Roman"/>
          <w:bCs/>
          <w:sz w:val="24"/>
          <w:szCs w:val="24"/>
          <w:lang w:eastAsia="hr-HR"/>
        </w:rPr>
        <w:t xml:space="preserve">skazano je </w:t>
      </w:r>
      <w:r w:rsidRPr="00150250">
        <w:rPr>
          <w:rFonts w:ascii="Times New Roman" w:eastAsia="Times New Roman" w:hAnsi="Times New Roman" w:cs="Times New Roman"/>
          <w:bCs/>
          <w:sz w:val="24"/>
          <w:szCs w:val="24"/>
          <w:lang w:eastAsia="hr-HR"/>
        </w:rPr>
        <w:t>1.672.648.555,83 eura.</w:t>
      </w:r>
    </w:p>
    <w:p w:rsidR="00814FAD" w:rsidRDefault="00814FAD" w:rsidP="00814FAD">
      <w:pPr>
        <w:jc w:val="both"/>
        <w:rPr>
          <w:rFonts w:ascii="Times New Roman" w:hAnsi="Times New Roman" w:cs="Times New Roman"/>
          <w:sz w:val="24"/>
          <w:szCs w:val="24"/>
        </w:rPr>
      </w:pPr>
      <w:r>
        <w:rPr>
          <w:rFonts w:ascii="Times New Roman" w:eastAsia="Times New Roman" w:hAnsi="Times New Roman" w:cs="Times New Roman"/>
          <w:sz w:val="24"/>
          <w:szCs w:val="24"/>
          <w:lang w:eastAsia="hr-HR"/>
        </w:rPr>
        <w:t>Kako bi se osigurali podaci</w:t>
      </w:r>
      <w:r w:rsidRPr="00963641">
        <w:rPr>
          <w:rFonts w:ascii="Times New Roman" w:eastAsia="Times New Roman" w:hAnsi="Times New Roman" w:cs="Times New Roman"/>
          <w:sz w:val="24"/>
          <w:szCs w:val="24"/>
          <w:lang w:eastAsia="hr-HR"/>
        </w:rPr>
        <w:t xml:space="preserve"> o obračunatim prihodima za EU pomoći </w:t>
      </w:r>
      <w:r>
        <w:rPr>
          <w:rFonts w:ascii="Times New Roman" w:eastAsia="Times New Roman" w:hAnsi="Times New Roman" w:cs="Times New Roman"/>
          <w:sz w:val="24"/>
          <w:szCs w:val="24"/>
          <w:lang w:eastAsia="hr-HR"/>
        </w:rPr>
        <w:t xml:space="preserve">koji služe za neutralizaciju EU </w:t>
      </w:r>
      <w:r w:rsidRPr="00963641">
        <w:rPr>
          <w:rFonts w:ascii="Times New Roman" w:eastAsia="Times New Roman" w:hAnsi="Times New Roman" w:cs="Times New Roman"/>
          <w:sz w:val="24"/>
          <w:szCs w:val="24"/>
          <w:lang w:eastAsia="hr-HR"/>
        </w:rPr>
        <w:t>tijekova na rezultat višak/manjak iz nacionalnih sredstava</w:t>
      </w:r>
      <w:r>
        <w:rPr>
          <w:rFonts w:ascii="Times New Roman" w:eastAsia="Times New Roman" w:hAnsi="Times New Roman" w:cs="Times New Roman"/>
          <w:sz w:val="24"/>
          <w:szCs w:val="24"/>
          <w:lang w:eastAsia="hr-HR"/>
        </w:rPr>
        <w:t xml:space="preserve">, u skladu s novom metodologijom evidentiranja EU tijekova, </w:t>
      </w:r>
      <w:r w:rsidRPr="00963641">
        <w:rPr>
          <w:rFonts w:ascii="Times New Roman" w:hAnsi="Times New Roman" w:cs="Times New Roman"/>
          <w:sz w:val="24"/>
          <w:szCs w:val="24"/>
        </w:rPr>
        <w:t xml:space="preserve">u visini nastalih EU rashoda evidentira </w:t>
      </w:r>
      <w:r>
        <w:rPr>
          <w:rFonts w:ascii="Times New Roman" w:hAnsi="Times New Roman" w:cs="Times New Roman"/>
          <w:sz w:val="24"/>
          <w:szCs w:val="24"/>
        </w:rPr>
        <w:t xml:space="preserve">se </w:t>
      </w:r>
      <w:r w:rsidRPr="00963641">
        <w:rPr>
          <w:rFonts w:ascii="Times New Roman" w:hAnsi="Times New Roman" w:cs="Times New Roman"/>
          <w:sz w:val="24"/>
          <w:szCs w:val="24"/>
        </w:rPr>
        <w:t>potraživanje i obračunati prihod od EU pomoći preko</w:t>
      </w:r>
      <w:r>
        <w:rPr>
          <w:rFonts w:ascii="Times New Roman" w:hAnsi="Times New Roman" w:cs="Times New Roman"/>
          <w:sz w:val="24"/>
          <w:szCs w:val="24"/>
        </w:rPr>
        <w:t xml:space="preserve"> bilančnih</w:t>
      </w:r>
      <w:r w:rsidRPr="00963641">
        <w:rPr>
          <w:rFonts w:ascii="Times New Roman" w:hAnsi="Times New Roman" w:cs="Times New Roman"/>
          <w:sz w:val="24"/>
          <w:szCs w:val="24"/>
        </w:rPr>
        <w:t xml:space="preserve"> računa skupine</w:t>
      </w:r>
      <w:r>
        <w:rPr>
          <w:rFonts w:ascii="Times New Roman" w:hAnsi="Times New Roman" w:cs="Times New Roman"/>
          <w:sz w:val="24"/>
          <w:szCs w:val="24"/>
        </w:rPr>
        <w:t xml:space="preserve"> </w:t>
      </w:r>
      <w:r w:rsidRPr="00963641">
        <w:rPr>
          <w:rFonts w:ascii="Times New Roman" w:hAnsi="Times New Roman" w:cs="Times New Roman"/>
          <w:sz w:val="24"/>
          <w:szCs w:val="24"/>
        </w:rPr>
        <w:t xml:space="preserve">16 </w:t>
      </w:r>
      <w:r w:rsidRPr="00963641">
        <w:rPr>
          <w:rFonts w:ascii="Times New Roman" w:hAnsi="Times New Roman" w:cs="Times New Roman"/>
          <w:i/>
          <w:sz w:val="24"/>
          <w:szCs w:val="24"/>
        </w:rPr>
        <w:t>Potraživanja za prihode poslovanja</w:t>
      </w:r>
      <w:r w:rsidRPr="00963641">
        <w:rPr>
          <w:rFonts w:ascii="Times New Roman" w:hAnsi="Times New Roman" w:cs="Times New Roman"/>
          <w:sz w:val="24"/>
          <w:szCs w:val="24"/>
        </w:rPr>
        <w:t xml:space="preserve"> i 96 </w:t>
      </w:r>
      <w:r w:rsidRPr="00963641">
        <w:rPr>
          <w:rFonts w:ascii="Times New Roman" w:hAnsi="Times New Roman" w:cs="Times New Roman"/>
          <w:i/>
          <w:sz w:val="24"/>
          <w:szCs w:val="24"/>
        </w:rPr>
        <w:t>Obračunati prihodi</w:t>
      </w:r>
      <w:r>
        <w:rPr>
          <w:rFonts w:ascii="Times New Roman" w:hAnsi="Times New Roman" w:cs="Times New Roman"/>
          <w:sz w:val="24"/>
          <w:szCs w:val="24"/>
        </w:rPr>
        <w:t>.</w:t>
      </w:r>
    </w:p>
    <w:p w:rsidR="00814FAD" w:rsidRDefault="00814FAD" w:rsidP="00814FAD">
      <w:pPr>
        <w:jc w:val="both"/>
        <w:rPr>
          <w:rFonts w:ascii="Times New Roman" w:hAnsi="Times New Roman" w:cs="Times New Roman"/>
          <w:sz w:val="24"/>
          <w:szCs w:val="24"/>
        </w:rPr>
      </w:pPr>
      <w:r w:rsidRPr="00150250">
        <w:rPr>
          <w:rFonts w:ascii="Times New Roman" w:hAnsi="Times New Roman" w:cs="Times New Roman"/>
          <w:sz w:val="24"/>
          <w:szCs w:val="24"/>
        </w:rPr>
        <w:t>Stanje potraživanja i obračunatih prihoda na dan 31.prosinca 2025</w:t>
      </w:r>
      <w:r w:rsidR="007666BD">
        <w:rPr>
          <w:rFonts w:ascii="Times New Roman" w:hAnsi="Times New Roman" w:cs="Times New Roman"/>
          <w:sz w:val="24"/>
          <w:szCs w:val="24"/>
        </w:rPr>
        <w:t>.</w:t>
      </w:r>
      <w:r w:rsidRPr="00150250">
        <w:rPr>
          <w:rFonts w:ascii="Times New Roman" w:hAnsi="Times New Roman" w:cs="Times New Roman"/>
          <w:sz w:val="24"/>
          <w:szCs w:val="24"/>
        </w:rPr>
        <w:t xml:space="preserve"> godine iskazano je u iznosu 578.875.638,14 eura.</w:t>
      </w:r>
    </w:p>
    <w:p w:rsidR="00814FAD" w:rsidRDefault="00814FAD" w:rsidP="00814FAD">
      <w:pPr>
        <w:jc w:val="both"/>
        <w:rPr>
          <w:rFonts w:ascii="Times New Roman" w:eastAsia="Times New Roman" w:hAnsi="Times New Roman" w:cs="Times New Roman"/>
          <w:sz w:val="24"/>
          <w:szCs w:val="24"/>
          <w:lang w:eastAsia="hr-HR"/>
        </w:rPr>
      </w:pPr>
      <w:r w:rsidRPr="008C23A0">
        <w:rPr>
          <w:rFonts w:ascii="Times New Roman" w:eastAsia="Times New Roman" w:hAnsi="Times New Roman" w:cs="Times New Roman"/>
          <w:sz w:val="24"/>
          <w:szCs w:val="24"/>
          <w:lang w:eastAsia="hr-HR"/>
        </w:rPr>
        <w:t>Potraživanja i obračunati prihodi od pomoći od institucija i tijela EU zatvaraju se kada su</w:t>
      </w:r>
      <w:r>
        <w:rPr>
          <w:rFonts w:ascii="Times New Roman" w:eastAsia="Times New Roman" w:hAnsi="Times New Roman" w:cs="Times New Roman"/>
          <w:sz w:val="24"/>
          <w:szCs w:val="24"/>
          <w:lang w:eastAsia="hr-HR"/>
        </w:rPr>
        <w:t xml:space="preserve"> ispunjeni uvjeti za zatvaranje </w:t>
      </w:r>
      <w:r w:rsidRPr="008C23A0">
        <w:rPr>
          <w:rFonts w:ascii="Times New Roman" w:eastAsia="Times New Roman" w:hAnsi="Times New Roman" w:cs="Times New Roman"/>
          <w:sz w:val="24"/>
          <w:szCs w:val="24"/>
          <w:lang w:eastAsia="hr-HR"/>
        </w:rPr>
        <w:t>potraživanja i priznavanje prihoda</w:t>
      </w:r>
      <w:r>
        <w:rPr>
          <w:rFonts w:ascii="Times New Roman" w:eastAsia="Times New Roman" w:hAnsi="Times New Roman" w:cs="Times New Roman"/>
          <w:sz w:val="24"/>
          <w:szCs w:val="24"/>
          <w:lang w:eastAsia="hr-HR"/>
        </w:rPr>
        <w:t xml:space="preserve"> </w:t>
      </w:r>
      <w:r w:rsidRPr="008C23A0">
        <w:rPr>
          <w:rFonts w:ascii="Times New Roman" w:eastAsia="Times New Roman" w:hAnsi="Times New Roman" w:cs="Times New Roman"/>
          <w:sz w:val="24"/>
          <w:szCs w:val="24"/>
          <w:lang w:eastAsia="hr-HR"/>
        </w:rPr>
        <w:t xml:space="preserve">u okviru podskupine 632 </w:t>
      </w:r>
      <w:r w:rsidRPr="008C23A0">
        <w:rPr>
          <w:rFonts w:ascii="Times New Roman" w:eastAsia="Times New Roman" w:hAnsi="Times New Roman" w:cs="Times New Roman"/>
          <w:i/>
          <w:sz w:val="24"/>
          <w:szCs w:val="24"/>
          <w:lang w:eastAsia="hr-HR"/>
        </w:rPr>
        <w:t>Pomoći od međunarodnih organizacija te institucija i tijela EU</w:t>
      </w:r>
      <w:r>
        <w:rPr>
          <w:rFonts w:ascii="Times New Roman" w:eastAsia="Times New Roman" w:hAnsi="Times New Roman" w:cs="Times New Roman"/>
          <w:sz w:val="24"/>
          <w:szCs w:val="24"/>
          <w:lang w:eastAsia="hr-HR"/>
        </w:rPr>
        <w:t xml:space="preserve">, </w:t>
      </w:r>
      <w:r w:rsidRPr="008C23A0">
        <w:rPr>
          <w:rFonts w:ascii="Times New Roman" w:eastAsia="Times New Roman" w:hAnsi="Times New Roman" w:cs="Times New Roman"/>
          <w:sz w:val="24"/>
          <w:szCs w:val="24"/>
          <w:lang w:eastAsia="hr-HR"/>
        </w:rPr>
        <w:t>odnosno</w:t>
      </w:r>
      <w:r>
        <w:rPr>
          <w:rFonts w:ascii="Times New Roman" w:eastAsia="Times New Roman" w:hAnsi="Times New Roman" w:cs="Times New Roman"/>
          <w:sz w:val="24"/>
          <w:szCs w:val="24"/>
          <w:lang w:eastAsia="hr-HR"/>
        </w:rPr>
        <w:t xml:space="preserve"> </w:t>
      </w:r>
      <w:r w:rsidRPr="008C23A0">
        <w:rPr>
          <w:rFonts w:ascii="Times New Roman" w:eastAsia="Times New Roman" w:hAnsi="Times New Roman" w:cs="Times New Roman"/>
          <w:sz w:val="24"/>
          <w:szCs w:val="24"/>
          <w:lang w:eastAsia="hr-HR"/>
        </w:rPr>
        <w:t>po izvršenim prihvatljivim troškovima</w:t>
      </w:r>
      <w:r>
        <w:rPr>
          <w:rFonts w:ascii="Times New Roman" w:eastAsia="Times New Roman" w:hAnsi="Times New Roman" w:cs="Times New Roman"/>
          <w:sz w:val="24"/>
          <w:szCs w:val="24"/>
          <w:lang w:eastAsia="hr-HR"/>
        </w:rPr>
        <w:t xml:space="preserve"> ili odobrenom ZNS-u:</w:t>
      </w:r>
    </w:p>
    <w:p w:rsidR="00814FAD" w:rsidRPr="00CC673D" w:rsidRDefault="00814FAD" w:rsidP="00814FAD">
      <w:pPr>
        <w:pStyle w:val="Odlomakpopisa"/>
        <w:numPr>
          <w:ilvl w:val="0"/>
          <w:numId w:val="4"/>
        </w:numPr>
        <w:jc w:val="both"/>
        <w:rPr>
          <w:rFonts w:ascii="Times New Roman" w:eastAsia="Times New Roman" w:hAnsi="Times New Roman" w:cs="Times New Roman"/>
          <w:sz w:val="24"/>
          <w:szCs w:val="24"/>
          <w:lang w:eastAsia="hr-HR"/>
        </w:rPr>
      </w:pPr>
      <w:r w:rsidRPr="00CC673D">
        <w:rPr>
          <w:rFonts w:ascii="Times New Roman" w:eastAsia="Times New Roman" w:hAnsi="Times New Roman" w:cs="Times New Roman"/>
          <w:sz w:val="24"/>
          <w:szCs w:val="24"/>
          <w:lang w:eastAsia="hr-HR"/>
        </w:rPr>
        <w:t>kroz obračunsko plaćanje sa sredstvima EU predujma (ako su sredstva predujma raspoloživa),</w:t>
      </w:r>
    </w:p>
    <w:p w:rsidR="00814FAD" w:rsidRPr="00CC673D" w:rsidRDefault="00814FAD" w:rsidP="00814FAD">
      <w:pPr>
        <w:pStyle w:val="Odlomakpopisa"/>
        <w:numPr>
          <w:ilvl w:val="0"/>
          <w:numId w:val="4"/>
        </w:numPr>
        <w:jc w:val="both"/>
        <w:rPr>
          <w:rFonts w:ascii="Times New Roman" w:eastAsia="Times New Roman" w:hAnsi="Times New Roman" w:cs="Times New Roman"/>
          <w:sz w:val="24"/>
          <w:szCs w:val="24"/>
          <w:lang w:eastAsia="hr-HR"/>
        </w:rPr>
      </w:pPr>
      <w:r w:rsidRPr="00CC673D">
        <w:rPr>
          <w:rFonts w:ascii="Times New Roman" w:hAnsi="Times New Roman" w:cs="Times New Roman"/>
          <w:sz w:val="24"/>
          <w:szCs w:val="24"/>
        </w:rPr>
        <w:t xml:space="preserve">kroz obračunsko plaćanje sa </w:t>
      </w:r>
      <w:r w:rsidRPr="00CC673D">
        <w:rPr>
          <w:rFonts w:ascii="Times New Roman" w:eastAsia="Times New Roman" w:hAnsi="Times New Roman" w:cs="Times New Roman"/>
          <w:sz w:val="24"/>
          <w:szCs w:val="24"/>
          <w:lang w:eastAsia="hr-HR"/>
        </w:rPr>
        <w:t>unaprijed naplaćenim EU prihodom,</w:t>
      </w:r>
    </w:p>
    <w:p w:rsidR="00814FAD" w:rsidRPr="00150250" w:rsidRDefault="00814FAD" w:rsidP="00814FAD">
      <w:pPr>
        <w:pStyle w:val="Odlomakpopisa"/>
        <w:numPr>
          <w:ilvl w:val="0"/>
          <w:numId w:val="4"/>
        </w:numPr>
        <w:jc w:val="both"/>
        <w:rPr>
          <w:rFonts w:ascii="Times New Roman" w:eastAsia="Times New Roman" w:hAnsi="Times New Roman" w:cs="Times New Roman"/>
          <w:sz w:val="24"/>
          <w:szCs w:val="24"/>
          <w:lang w:eastAsia="hr-HR"/>
        </w:rPr>
      </w:pPr>
      <w:r w:rsidRPr="00CC673D">
        <w:rPr>
          <w:rFonts w:ascii="Times New Roman" w:eastAsia="Times New Roman" w:hAnsi="Times New Roman" w:cs="Times New Roman"/>
          <w:sz w:val="24"/>
          <w:szCs w:val="24"/>
          <w:lang w:eastAsia="hr-HR"/>
        </w:rPr>
        <w:t xml:space="preserve">po uplati refundacije sredstava od strane </w:t>
      </w:r>
      <w:r w:rsidR="007666BD" w:rsidRPr="00CC673D">
        <w:rPr>
          <w:rFonts w:ascii="Times New Roman" w:eastAsia="Times New Roman" w:hAnsi="Times New Roman" w:cs="Times New Roman"/>
          <w:sz w:val="24"/>
          <w:szCs w:val="24"/>
          <w:lang w:eastAsia="hr-HR"/>
        </w:rPr>
        <w:t>E</w:t>
      </w:r>
      <w:r w:rsidR="007666BD">
        <w:rPr>
          <w:rFonts w:ascii="Times New Roman" w:eastAsia="Times New Roman" w:hAnsi="Times New Roman" w:cs="Times New Roman"/>
          <w:sz w:val="24"/>
          <w:szCs w:val="24"/>
          <w:lang w:eastAsia="hr-HR"/>
        </w:rPr>
        <w:t>uropske komisije</w:t>
      </w:r>
      <w:r>
        <w:rPr>
          <w:rFonts w:ascii="Times New Roman" w:eastAsia="Times New Roman" w:hAnsi="Times New Roman" w:cs="Times New Roman"/>
          <w:sz w:val="24"/>
          <w:szCs w:val="24"/>
          <w:lang w:eastAsia="hr-HR"/>
        </w:rPr>
        <w:t>.</w:t>
      </w:r>
    </w:p>
    <w:p w:rsidR="00814FAD" w:rsidRPr="00FB49B5" w:rsidRDefault="00814FAD" w:rsidP="00814FAD">
      <w:pPr>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Dodatno, </w:t>
      </w:r>
      <w:r w:rsidR="007666BD">
        <w:rPr>
          <w:rFonts w:ascii="Times New Roman" w:eastAsia="Times New Roman" w:hAnsi="Times New Roman" w:cs="Times New Roman"/>
          <w:sz w:val="24"/>
          <w:szCs w:val="24"/>
          <w:lang w:eastAsia="hr-HR"/>
        </w:rPr>
        <w:t>Republici Hrvatskoj</w:t>
      </w:r>
      <w:r w:rsidR="007666BD" w:rsidRPr="00FB49B5">
        <w:rPr>
          <w:rFonts w:ascii="Times New Roman" w:eastAsia="Times New Roman" w:hAnsi="Times New Roman" w:cs="Times New Roman"/>
          <w:sz w:val="24"/>
          <w:szCs w:val="24"/>
          <w:lang w:eastAsia="hr-HR"/>
        </w:rPr>
        <w:t xml:space="preserve"> </w:t>
      </w:r>
      <w:r w:rsidRPr="00FB49B5">
        <w:rPr>
          <w:rFonts w:ascii="Times New Roman" w:eastAsia="Times New Roman" w:hAnsi="Times New Roman" w:cs="Times New Roman"/>
          <w:sz w:val="24"/>
          <w:szCs w:val="24"/>
          <w:lang w:eastAsia="hr-HR"/>
        </w:rPr>
        <w:t xml:space="preserve">su kroz instrument Europske unije Mehanizam za oporavak i otpornost na raspolaganju i sredstva zajmova. U državnom proračunu za praćenje ostvarenja prihoda i primitaka te izvršenje rashoda i izdataka iz sredstava zajma iz Mehanizma za oporavak i otpornost utvrđen je izvor financiranja 81 </w:t>
      </w:r>
      <w:r w:rsidRPr="00FB49B5">
        <w:rPr>
          <w:rFonts w:ascii="Times New Roman" w:eastAsia="Times New Roman" w:hAnsi="Times New Roman" w:cs="Times New Roman"/>
          <w:i/>
          <w:sz w:val="24"/>
          <w:szCs w:val="24"/>
          <w:lang w:eastAsia="hr-HR"/>
        </w:rPr>
        <w:t>Namjenski primici od zaduživanja</w:t>
      </w:r>
      <w:r w:rsidRPr="00FB49B5">
        <w:rPr>
          <w:rFonts w:ascii="Times New Roman" w:eastAsia="Times New Roman" w:hAnsi="Times New Roman" w:cs="Times New Roman"/>
          <w:sz w:val="24"/>
          <w:szCs w:val="24"/>
          <w:lang w:eastAsia="hr-HR"/>
        </w:rPr>
        <w:t xml:space="preserve"> (815 </w:t>
      </w:r>
      <w:r w:rsidRPr="00FB49B5">
        <w:rPr>
          <w:rFonts w:ascii="Times New Roman" w:eastAsia="Times New Roman" w:hAnsi="Times New Roman" w:cs="Times New Roman"/>
          <w:i/>
          <w:sz w:val="24"/>
          <w:szCs w:val="24"/>
          <w:lang w:eastAsia="hr-HR"/>
        </w:rPr>
        <w:t>Namjenski primici – NPOO</w:t>
      </w:r>
      <w:r w:rsidRPr="00FB49B5">
        <w:rPr>
          <w:rFonts w:ascii="Times New Roman" w:eastAsia="Times New Roman" w:hAnsi="Times New Roman" w:cs="Times New Roman"/>
          <w:sz w:val="24"/>
          <w:szCs w:val="24"/>
          <w:lang w:eastAsia="hr-HR"/>
        </w:rPr>
        <w:t>).</w:t>
      </w:r>
    </w:p>
    <w:p w:rsidR="00814FAD" w:rsidRPr="00FB49B5" w:rsidRDefault="00814FAD" w:rsidP="00814FAD">
      <w:pPr>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 xml:space="preserve">Po primitku sredstava zajma Europske unije, ona se evidentiraju u trenutku uplate i u visini uplaćenih sredstava zajma na pozicijama Ministarstva financija – ostali izdaci države, na analitičkom računu primitka 841420815 </w:t>
      </w:r>
      <w:r w:rsidRPr="00FB49B5">
        <w:rPr>
          <w:rFonts w:ascii="Times New Roman" w:eastAsia="Times New Roman" w:hAnsi="Times New Roman" w:cs="Times New Roman"/>
          <w:i/>
          <w:sz w:val="24"/>
          <w:szCs w:val="24"/>
          <w:lang w:eastAsia="hr-HR"/>
        </w:rPr>
        <w:t>Primljeni zajam EU NPOO</w:t>
      </w:r>
      <w:r w:rsidRPr="00FB49B5">
        <w:rPr>
          <w:rFonts w:ascii="Times New Roman" w:eastAsia="Times New Roman" w:hAnsi="Times New Roman" w:cs="Times New Roman"/>
          <w:sz w:val="24"/>
          <w:szCs w:val="24"/>
          <w:lang w:eastAsia="hr-HR"/>
        </w:rPr>
        <w:t>.</w:t>
      </w:r>
    </w:p>
    <w:p w:rsidR="00814FAD" w:rsidRPr="00150250" w:rsidRDefault="00814FAD" w:rsidP="00814FAD">
      <w:pPr>
        <w:jc w:val="both"/>
        <w:rPr>
          <w:rFonts w:ascii="Times New Roman" w:eastAsia="Times New Roman" w:hAnsi="Times New Roman" w:cs="Times New Roman"/>
          <w:sz w:val="24"/>
          <w:szCs w:val="24"/>
          <w:lang w:eastAsia="hr-HR"/>
        </w:rPr>
      </w:pPr>
      <w:r w:rsidRPr="00FB49B5">
        <w:rPr>
          <w:rFonts w:ascii="Times New Roman" w:eastAsia="Times New Roman" w:hAnsi="Times New Roman" w:cs="Times New Roman"/>
          <w:sz w:val="24"/>
          <w:szCs w:val="24"/>
          <w:lang w:eastAsia="hr-HR"/>
        </w:rPr>
        <w:t>Izvršeni rashodi i izdaci iskazuju</w:t>
      </w:r>
      <w:r>
        <w:rPr>
          <w:rFonts w:ascii="Times New Roman" w:eastAsia="Times New Roman" w:hAnsi="Times New Roman" w:cs="Times New Roman"/>
          <w:sz w:val="24"/>
          <w:szCs w:val="24"/>
          <w:lang w:eastAsia="hr-HR"/>
        </w:rPr>
        <w:t xml:space="preserve"> se</w:t>
      </w:r>
      <w:r w:rsidRPr="00FB49B5">
        <w:rPr>
          <w:rFonts w:ascii="Times New Roman" w:eastAsia="Times New Roman" w:hAnsi="Times New Roman" w:cs="Times New Roman"/>
          <w:sz w:val="24"/>
          <w:szCs w:val="24"/>
          <w:lang w:eastAsia="hr-HR"/>
        </w:rPr>
        <w:t xml:space="preserve"> u razdoblju kada su plaćeni po proračunskom korisniku. U 2025. godini rashodi i izdaci iskazani na podizvoru financiranja 815 </w:t>
      </w:r>
      <w:r w:rsidRPr="00FB49B5">
        <w:rPr>
          <w:rFonts w:ascii="Times New Roman" w:eastAsia="Times New Roman" w:hAnsi="Times New Roman" w:cs="Times New Roman"/>
          <w:i/>
          <w:sz w:val="24"/>
          <w:szCs w:val="24"/>
          <w:lang w:eastAsia="hr-HR"/>
        </w:rPr>
        <w:t>Namjenski primici – NPOO</w:t>
      </w:r>
      <w:r w:rsidRPr="00FB49B5">
        <w:rPr>
          <w:rFonts w:ascii="Times New Roman" w:eastAsia="Times New Roman" w:hAnsi="Times New Roman" w:cs="Times New Roman"/>
          <w:sz w:val="24"/>
          <w:szCs w:val="24"/>
          <w:lang w:eastAsia="hr-HR"/>
        </w:rPr>
        <w:t xml:space="preserve"> iznose 565.730.601,40 eura.</w:t>
      </w:r>
    </w:p>
    <w:p w:rsidR="003A580F" w:rsidRDefault="003A580F" w:rsidP="003A580F">
      <w:pPr>
        <w:rPr>
          <w:rFonts w:ascii="Times New Roman" w:hAnsi="Times New Roman" w:cs="Times New Roman"/>
          <w:b/>
          <w:sz w:val="24"/>
          <w:szCs w:val="24"/>
        </w:rPr>
      </w:pPr>
      <w:r w:rsidRPr="006D4D86">
        <w:rPr>
          <w:rFonts w:ascii="Times New Roman" w:hAnsi="Times New Roman" w:cs="Times New Roman"/>
          <w:b/>
          <w:sz w:val="24"/>
          <w:szCs w:val="24"/>
        </w:rPr>
        <w:lastRenderedPageBreak/>
        <w:t>2. IZVJEŠTAJ O KORIŠTENJU SREDSTAVA FONDOVA EUROPSKE UNIJE OD 1. S</w:t>
      </w:r>
      <w:r>
        <w:rPr>
          <w:rFonts w:ascii="Times New Roman" w:hAnsi="Times New Roman" w:cs="Times New Roman"/>
          <w:b/>
          <w:sz w:val="24"/>
          <w:szCs w:val="24"/>
        </w:rPr>
        <w:t>RPNJA 2013. DO 31. PROSINCA 2025</w:t>
      </w:r>
      <w:r w:rsidRPr="006D4D86">
        <w:rPr>
          <w:rFonts w:ascii="Times New Roman" w:hAnsi="Times New Roman" w:cs="Times New Roman"/>
          <w:b/>
          <w:sz w:val="24"/>
          <w:szCs w:val="24"/>
        </w:rPr>
        <w:t>.</w:t>
      </w:r>
    </w:p>
    <w:p w:rsidR="003A580F" w:rsidRDefault="003A580F" w:rsidP="003A580F">
      <w:pPr>
        <w:pStyle w:val="xmsonormal"/>
        <w:shd w:val="clear" w:color="auto" w:fill="FFFFFF"/>
        <w:jc w:val="both"/>
        <w:rPr>
          <w:bCs/>
          <w:color w:val="212121"/>
        </w:rPr>
      </w:pPr>
      <w:r>
        <w:rPr>
          <w:bCs/>
          <w:color w:val="212121"/>
        </w:rPr>
        <w:t xml:space="preserve">Republici Hrvatskoj je od pristupanja u članstvo Europske unije ukupno dodijeljeno više od 40,40 </w:t>
      </w:r>
      <w:r w:rsidR="0098222B">
        <w:rPr>
          <w:bCs/>
          <w:color w:val="212121"/>
        </w:rPr>
        <w:t xml:space="preserve">milijarde </w:t>
      </w:r>
      <w:r>
        <w:rPr>
          <w:bCs/>
          <w:color w:val="212121"/>
        </w:rPr>
        <w:t>eura sredstava iz fondova Europske unije za programska razdoblja od 1. srpnja 2013. do 31. prosinca 2030. godine.</w:t>
      </w:r>
    </w:p>
    <w:p w:rsidR="003A580F" w:rsidRPr="00B56633" w:rsidRDefault="003A580F" w:rsidP="00814FAD">
      <w:pPr>
        <w:jc w:val="both"/>
        <w:rPr>
          <w:bCs/>
          <w:color w:val="212121"/>
        </w:rPr>
      </w:pPr>
      <w:r w:rsidRPr="00B56633">
        <w:rPr>
          <w:rFonts w:ascii="Times New Roman" w:eastAsia="Times New Roman" w:hAnsi="Times New Roman" w:cs="Times New Roman"/>
          <w:bCs/>
          <w:color w:val="212121"/>
          <w:sz w:val="24"/>
          <w:szCs w:val="24"/>
          <w:lang w:eastAsia="hr-HR"/>
        </w:rPr>
        <w:t>U razdoblju od 1. srpnja 2013. godine do 31. prosinca 2025. godine iz proračuna Europske unije u državni proračun Republike Hrvatske doznačeno je ukupno 26.151.634.550,14 eura</w:t>
      </w:r>
      <w:r w:rsidR="00B56633">
        <w:rPr>
          <w:rFonts w:ascii="Times New Roman" w:eastAsia="Times New Roman" w:hAnsi="Times New Roman" w:cs="Times New Roman"/>
          <w:bCs/>
          <w:color w:val="212121"/>
          <w:sz w:val="24"/>
          <w:szCs w:val="24"/>
          <w:lang w:eastAsia="hr-HR"/>
        </w:rPr>
        <w:t>.</w:t>
      </w:r>
      <w:r w:rsidR="006C64FA" w:rsidRPr="00B56633">
        <w:rPr>
          <w:rFonts w:ascii="Times New Roman" w:eastAsia="Times New Roman" w:hAnsi="Times New Roman" w:cs="Times New Roman"/>
          <w:bCs/>
          <w:color w:val="212121"/>
          <w:sz w:val="24"/>
          <w:szCs w:val="24"/>
          <w:lang w:eastAsia="hr-HR"/>
        </w:rPr>
        <w:t xml:space="preserve"> </w:t>
      </w:r>
      <w:r w:rsidRPr="00B56633">
        <w:rPr>
          <w:rFonts w:ascii="Times New Roman" w:eastAsia="Times New Roman" w:hAnsi="Times New Roman" w:cs="Times New Roman"/>
          <w:bCs/>
          <w:color w:val="212121"/>
          <w:sz w:val="24"/>
          <w:szCs w:val="24"/>
          <w:lang w:eastAsia="hr-HR"/>
        </w:rPr>
        <w:t>Usporedbe radi, u istom razdoblju, na ime doprinosa Republike Hrvatske prora</w:t>
      </w:r>
      <w:r w:rsidR="005F6220">
        <w:rPr>
          <w:rFonts w:ascii="Times New Roman" w:eastAsia="Times New Roman" w:hAnsi="Times New Roman" w:cs="Times New Roman"/>
          <w:bCs/>
          <w:color w:val="212121"/>
          <w:sz w:val="24"/>
          <w:szCs w:val="24"/>
          <w:lang w:eastAsia="hr-HR"/>
        </w:rPr>
        <w:t>čunu Europske unije uplaćeno je</w:t>
      </w:r>
      <w:r w:rsidRPr="00B56633">
        <w:rPr>
          <w:rFonts w:ascii="Times New Roman" w:eastAsia="Times New Roman" w:hAnsi="Times New Roman" w:cs="Times New Roman"/>
          <w:bCs/>
          <w:color w:val="212121"/>
          <w:sz w:val="24"/>
          <w:szCs w:val="24"/>
          <w:lang w:eastAsia="hr-HR"/>
        </w:rPr>
        <w:t xml:space="preserve"> 6.923.502.514,65 eura te razlika uplaćenih sredstava u korist državnog proračuna Republike Hrvatske na dan 31. prosinca 2025. godine iznosi  19.228.132.035,49 eura</w:t>
      </w:r>
      <w:r w:rsidR="00B56633">
        <w:rPr>
          <w:rFonts w:ascii="Times New Roman" w:eastAsia="Times New Roman" w:hAnsi="Times New Roman" w:cs="Times New Roman"/>
          <w:bCs/>
          <w:color w:val="212121"/>
          <w:sz w:val="24"/>
          <w:szCs w:val="24"/>
          <w:lang w:eastAsia="hr-HR"/>
        </w:rPr>
        <w:t>.</w:t>
      </w:r>
    </w:p>
    <w:p w:rsidR="003A580F" w:rsidRDefault="003A580F" w:rsidP="003A580F">
      <w:pPr>
        <w:pStyle w:val="xmsonormal"/>
        <w:shd w:val="clear" w:color="auto" w:fill="FFFFFF"/>
        <w:jc w:val="both"/>
        <w:rPr>
          <w:bCs/>
          <w:color w:val="212121"/>
        </w:rPr>
      </w:pPr>
      <w:r>
        <w:rPr>
          <w:bCs/>
          <w:color w:val="212121"/>
        </w:rPr>
        <w:t>Od članstva Republike Hrvatske u Europskoj uniji, odnosno u razdoblju od 1. srpnja 2013. godine do 31. prosinca 2025. godine Republika Hrvatska je koristila sredstva iz proračuna Europske unije iz 3 programska razdoblja:</w:t>
      </w:r>
    </w:p>
    <w:p w:rsidR="003A580F" w:rsidRDefault="003A580F" w:rsidP="003A580F">
      <w:pPr>
        <w:pStyle w:val="xmsonormal"/>
        <w:shd w:val="clear" w:color="auto" w:fill="FFFFFF"/>
        <w:jc w:val="both"/>
        <w:rPr>
          <w:bCs/>
        </w:rPr>
      </w:pPr>
      <w:r>
        <w:rPr>
          <w:b/>
          <w:bCs/>
          <w:color w:val="212121"/>
        </w:rPr>
        <w:t>Programsko razdoblje 2007. - 2013.</w:t>
      </w:r>
      <w:r>
        <w:rPr>
          <w:bCs/>
          <w:color w:val="212121"/>
        </w:rPr>
        <w:t xml:space="preserve"> – na raspolaganju su bila sredstva pretpristupnih programa koji se nakon 1. srpnja 2013. godine nastavljaju koristiti kao fondovi Europske unije, sredstva Schengenskog instrumenta i sredstva Instrumenta za jačanje novčanog tijek</w:t>
      </w:r>
      <w:r>
        <w:rPr>
          <w:bCs/>
        </w:rPr>
        <w:t xml:space="preserve">a. </w:t>
      </w:r>
    </w:p>
    <w:p w:rsidR="003A580F" w:rsidRPr="0098624A" w:rsidRDefault="003A580F" w:rsidP="003A580F">
      <w:pPr>
        <w:pStyle w:val="xmsonormal"/>
        <w:shd w:val="clear" w:color="auto" w:fill="FFFFFF"/>
        <w:jc w:val="both"/>
        <w:rPr>
          <w:bCs/>
          <w:color w:val="212121"/>
        </w:rPr>
      </w:pPr>
      <w:r w:rsidRPr="0098624A">
        <w:rPr>
          <w:b/>
          <w:bCs/>
          <w:color w:val="212121"/>
        </w:rPr>
        <w:t>Iz Programa unije</w:t>
      </w:r>
      <w:r w:rsidRPr="0098624A">
        <w:rPr>
          <w:bCs/>
          <w:color w:val="212121"/>
        </w:rPr>
        <w:t xml:space="preserve"> na raspolaganju su bespovratna sredstva kroz sva tri programska razdoblja. Iznos sredstava za Republiku Hrvatsku nije unaprijed određen i ovisi o uspješnosti prijava na pozive koje objavljuje izravno Europska komisija ili agencije u njenoj nadležnosti. </w:t>
      </w:r>
    </w:p>
    <w:p w:rsidR="003A580F" w:rsidRPr="0098624A" w:rsidRDefault="003A580F" w:rsidP="003A580F">
      <w:pPr>
        <w:pStyle w:val="xmsonormal"/>
        <w:shd w:val="clear" w:color="auto" w:fill="FFFFFF"/>
        <w:jc w:val="both"/>
        <w:rPr>
          <w:bCs/>
          <w:color w:val="212121"/>
        </w:rPr>
      </w:pPr>
      <w:r w:rsidRPr="0098624A">
        <w:rPr>
          <w:bCs/>
          <w:color w:val="212121"/>
        </w:rPr>
        <w:t xml:space="preserve">U razdoblju od 1. srpnja 2013. godine ostvaruju se i uplate iz EU proračuna na ime </w:t>
      </w:r>
      <w:r w:rsidRPr="0098624A">
        <w:rPr>
          <w:b/>
          <w:bCs/>
          <w:color w:val="212121"/>
        </w:rPr>
        <w:t xml:space="preserve">povrata troškova delegata za </w:t>
      </w:r>
      <w:r w:rsidR="002941F6">
        <w:rPr>
          <w:b/>
          <w:bCs/>
          <w:color w:val="212121"/>
        </w:rPr>
        <w:t>sudjelovanje na</w:t>
      </w:r>
      <w:r w:rsidR="002941F6" w:rsidRPr="0098624A">
        <w:rPr>
          <w:b/>
          <w:bCs/>
          <w:color w:val="212121"/>
        </w:rPr>
        <w:t xml:space="preserve"> </w:t>
      </w:r>
      <w:r w:rsidRPr="0098624A">
        <w:rPr>
          <w:b/>
          <w:bCs/>
          <w:color w:val="212121"/>
        </w:rPr>
        <w:t>sastancima Europskog vijeća i Vijeća Europske unije.</w:t>
      </w:r>
    </w:p>
    <w:p w:rsidR="003A580F" w:rsidRDefault="003A580F" w:rsidP="003A580F">
      <w:pPr>
        <w:pStyle w:val="xmsonormal"/>
        <w:shd w:val="clear" w:color="auto" w:fill="FFFFFF"/>
        <w:jc w:val="both"/>
        <w:rPr>
          <w:bCs/>
          <w:color w:val="212121"/>
        </w:rPr>
      </w:pPr>
      <w:r w:rsidRPr="0098624A">
        <w:rPr>
          <w:bCs/>
          <w:color w:val="212121"/>
        </w:rPr>
        <w:t>U iznos dodijeljenih sredstava (Tablica 2) uključena su sredstva iz prethodno navedenih programa i instrumenata</w:t>
      </w:r>
      <w:r>
        <w:rPr>
          <w:bCs/>
          <w:color w:val="212121"/>
        </w:rPr>
        <w:t>.</w:t>
      </w:r>
      <w:r w:rsidRPr="0098624A">
        <w:rPr>
          <w:bCs/>
          <w:color w:val="212121"/>
        </w:rPr>
        <w:t xml:space="preserve"> Iznos uplaćenih sredstava veći je od iznosa ukupno dodijeljenih sredstava </w:t>
      </w:r>
      <w:r>
        <w:rPr>
          <w:bCs/>
          <w:color w:val="212121"/>
        </w:rPr>
        <w:t xml:space="preserve">jer su uključene i </w:t>
      </w:r>
      <w:r w:rsidRPr="0098624A">
        <w:rPr>
          <w:bCs/>
          <w:color w:val="212121"/>
        </w:rPr>
        <w:t>uplate sredstva pretpristupnih programa Europske unije ostvaren</w:t>
      </w:r>
      <w:r>
        <w:rPr>
          <w:bCs/>
          <w:color w:val="212121"/>
        </w:rPr>
        <w:t>e</w:t>
      </w:r>
      <w:r w:rsidRPr="0098624A">
        <w:rPr>
          <w:bCs/>
          <w:color w:val="212121"/>
        </w:rPr>
        <w:t xml:space="preserve"> nakon 1. srpnja 2013.</w:t>
      </w:r>
      <w:r>
        <w:rPr>
          <w:bCs/>
          <w:color w:val="212121"/>
        </w:rPr>
        <w:t xml:space="preserve"> </w:t>
      </w:r>
    </w:p>
    <w:p w:rsidR="00145BE9" w:rsidRDefault="00145BE9" w:rsidP="00145BE9">
      <w:pPr>
        <w:pStyle w:val="xmsonormal"/>
        <w:shd w:val="clear" w:color="auto" w:fill="FFFFFF"/>
        <w:jc w:val="both"/>
        <w:rPr>
          <w:bCs/>
          <w:color w:val="212121"/>
        </w:rPr>
      </w:pPr>
      <w:r w:rsidRPr="0098624A">
        <w:rPr>
          <w:bCs/>
          <w:color w:val="212121"/>
        </w:rPr>
        <w:t>Iznos uplaćenih sredstava veći je od iznosa ukupno dodijeljenih sredstava zbog povrata sredstava u proračun EK u iznosu 3,14 milijuna eura za Shengenski instrument i 419,38 milijuna eura, koja se odnose na uplate sredstva pretpristupnih programa Europske unije dodijeljenih Republici Hrvatskoj u ranijim godinama za koje su priljevi ostvareni nakon 1. srpnja 2013.</w:t>
      </w:r>
      <w:r>
        <w:rPr>
          <w:bCs/>
          <w:color w:val="212121"/>
        </w:rPr>
        <w:t xml:space="preserve"> </w:t>
      </w:r>
    </w:p>
    <w:p w:rsidR="003A580F" w:rsidRDefault="003A580F" w:rsidP="003A580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Tablica 2: Ukupno dodijeljena sredstva Republici Hrvatskoj za Ostale fondove Europske unije, uplaćena</w:t>
      </w:r>
      <w:r>
        <w:t xml:space="preserve"> </w:t>
      </w:r>
      <w:r>
        <w:rPr>
          <w:rFonts w:ascii="Times New Roman" w:hAnsi="Times New Roman" w:cs="Times New Roman"/>
          <w:b/>
          <w:sz w:val="24"/>
          <w:szCs w:val="24"/>
        </w:rPr>
        <w:t>sredstva iz proračuna Europske unije te isplaćena sredstva za odobrene zahtjeve korisnika od 1. srpnja 2013. do 31. prosinca 2025. godine</w:t>
      </w:r>
    </w:p>
    <w:p w:rsidR="003A580F" w:rsidRDefault="003A580F" w:rsidP="003A580F">
      <w:pPr>
        <w:spacing w:after="0" w:line="240" w:lineRule="auto"/>
        <w:jc w:val="both"/>
        <w:rPr>
          <w:rFonts w:ascii="Times New Roman" w:hAnsi="Times New Roman" w:cs="Times New Roman"/>
          <w:b/>
          <w:sz w:val="24"/>
          <w:szCs w:val="24"/>
        </w:rPr>
      </w:pPr>
    </w:p>
    <w:p w:rsidR="003A580F" w:rsidRDefault="003A580F" w:rsidP="003A580F">
      <w:pPr>
        <w:spacing w:after="0" w:line="240" w:lineRule="auto"/>
        <w:ind w:left="12"/>
        <w:jc w:val="both"/>
        <w:rPr>
          <w:rFonts w:ascii="Times New Roman" w:hAnsi="Times New Roman" w:cs="Times New Roman"/>
          <w:b/>
          <w:bCs/>
          <w:color w:val="212121"/>
          <w:sz w:val="24"/>
          <w:szCs w:val="24"/>
        </w:rPr>
      </w:pPr>
      <w:r w:rsidRPr="003A580F">
        <w:rPr>
          <w:noProof/>
          <w:lang w:eastAsia="hr-HR"/>
        </w:rPr>
        <w:drawing>
          <wp:inline distT="0" distB="0" distL="0" distR="0" wp14:anchorId="5E4E0ED5" wp14:editId="739BDC1D">
            <wp:extent cx="5760720" cy="756095"/>
            <wp:effectExtent l="0" t="0" r="0" b="635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756095"/>
                    </a:xfrm>
                    <a:prstGeom prst="rect">
                      <a:avLst/>
                    </a:prstGeom>
                    <a:noFill/>
                    <a:ln>
                      <a:noFill/>
                    </a:ln>
                  </pic:spPr>
                </pic:pic>
              </a:graphicData>
            </a:graphic>
          </wp:inline>
        </w:drawing>
      </w:r>
    </w:p>
    <w:p w:rsidR="003A580F" w:rsidRDefault="003A580F" w:rsidP="003A580F">
      <w:pPr>
        <w:spacing w:after="0" w:line="240" w:lineRule="auto"/>
        <w:ind w:left="12"/>
        <w:jc w:val="both"/>
        <w:rPr>
          <w:rFonts w:ascii="Times New Roman" w:hAnsi="Times New Roman" w:cs="Times New Roman"/>
          <w:b/>
          <w:bCs/>
          <w:color w:val="212121"/>
          <w:sz w:val="24"/>
          <w:szCs w:val="24"/>
        </w:rPr>
      </w:pPr>
    </w:p>
    <w:p w:rsidR="003A580F" w:rsidRDefault="003A580F" w:rsidP="00814FAD">
      <w:pPr>
        <w:spacing w:after="0" w:line="240" w:lineRule="auto"/>
        <w:jc w:val="both"/>
        <w:rPr>
          <w:bCs/>
          <w:color w:val="212121"/>
        </w:rPr>
      </w:pPr>
      <w:r>
        <w:rPr>
          <w:rFonts w:ascii="Times New Roman" w:hAnsi="Times New Roman" w:cs="Times New Roman"/>
          <w:b/>
          <w:bCs/>
          <w:color w:val="212121"/>
          <w:sz w:val="24"/>
          <w:szCs w:val="24"/>
        </w:rPr>
        <w:lastRenderedPageBreak/>
        <w:t>Programsko razdoblje 2014. - 2020.</w:t>
      </w:r>
      <w:r>
        <w:rPr>
          <w:rFonts w:ascii="Times New Roman" w:hAnsi="Times New Roman" w:cs="Times New Roman"/>
          <w:bCs/>
          <w:color w:val="212121"/>
          <w:sz w:val="24"/>
          <w:szCs w:val="24"/>
        </w:rPr>
        <w:t xml:space="preserve"> – na raspolaganju </w:t>
      </w:r>
      <w:r w:rsidR="00B56633">
        <w:rPr>
          <w:rFonts w:ascii="Times New Roman" w:hAnsi="Times New Roman" w:cs="Times New Roman"/>
          <w:bCs/>
          <w:color w:val="212121"/>
          <w:sz w:val="24"/>
          <w:szCs w:val="24"/>
        </w:rPr>
        <w:t>bila su</w:t>
      </w:r>
      <w:r>
        <w:rPr>
          <w:rFonts w:ascii="Times New Roman" w:hAnsi="Times New Roman" w:cs="Times New Roman"/>
          <w:bCs/>
          <w:color w:val="212121"/>
          <w:sz w:val="24"/>
          <w:szCs w:val="24"/>
        </w:rPr>
        <w:t xml:space="preserve"> sredstva u ukupnom iznosu 15,17 milijardi eura (Tablica 3), od čega se 13,60 milijardi eura odnosi na izvorno dodijeljena sredstava, a 1,57 milijardi eura za programe koji se financiranju iz fondova Zajedničke poljoprivredne politike  za 2021. i 2022. godinu, jer je Europska komisija produžila razdoblje provedbe za navedene fondove</w:t>
      </w:r>
      <w:r>
        <w:rPr>
          <w:bCs/>
          <w:color w:val="212121"/>
        </w:rPr>
        <w:t xml:space="preserve">. </w:t>
      </w:r>
    </w:p>
    <w:p w:rsidR="003A580F" w:rsidRDefault="003A580F" w:rsidP="003A580F">
      <w:pPr>
        <w:spacing w:after="0" w:line="240" w:lineRule="auto"/>
        <w:ind w:left="12"/>
        <w:jc w:val="both"/>
        <w:rPr>
          <w:bCs/>
          <w:color w:val="212121"/>
        </w:rPr>
      </w:pPr>
    </w:p>
    <w:p w:rsidR="003A580F" w:rsidRDefault="003A580F" w:rsidP="003A580F">
      <w:pPr>
        <w:spacing w:after="0" w:line="240" w:lineRule="auto"/>
        <w:ind w:left="12"/>
        <w:jc w:val="both"/>
        <w:rPr>
          <w:rFonts w:ascii="Times New Roman" w:eastAsia="Times New Roman" w:hAnsi="Times New Roman" w:cs="Times New Roman"/>
          <w:b/>
          <w:sz w:val="24"/>
          <w:szCs w:val="24"/>
          <w:lang w:eastAsia="hr-HR"/>
        </w:rPr>
      </w:pPr>
    </w:p>
    <w:p w:rsidR="003A580F" w:rsidRDefault="003A580F" w:rsidP="003A580F">
      <w:pPr>
        <w:spacing w:after="0" w:line="240" w:lineRule="auto"/>
        <w:ind w:left="12"/>
        <w:jc w:val="both"/>
        <w:rPr>
          <w:rFonts w:ascii="Times New Roman" w:eastAsia="Times New Roman" w:hAnsi="Times New Roman" w:cs="Times New Roman"/>
          <w:b/>
          <w:sz w:val="24"/>
          <w:szCs w:val="24"/>
          <w:lang w:eastAsia="hr-HR"/>
        </w:rPr>
      </w:pPr>
      <w:r>
        <w:rPr>
          <w:rFonts w:ascii="Times New Roman" w:eastAsia="Times New Roman" w:hAnsi="Times New Roman" w:cs="Times New Roman"/>
          <w:b/>
          <w:sz w:val="24"/>
          <w:szCs w:val="24"/>
          <w:lang w:eastAsia="hr-HR"/>
        </w:rPr>
        <w:t>Tablica 3: Ukupno dodijeljena sredstva Republici Hrvatskoj, uplaćena sredstva iz proračuna Europske unije te ukupno isplaćena sredstva za odobrene zahtjeve korisnika po fondovima Europske unije od 1. siječnja  2014. godine do 31. prosinca 2025. godine iz Europskih strukturnih i investicijskih fondova za programsko razdoblje 2014. - 2020.</w:t>
      </w:r>
    </w:p>
    <w:p w:rsidR="003A580F" w:rsidRDefault="003A580F" w:rsidP="003A580F">
      <w:pPr>
        <w:spacing w:after="0" w:line="240" w:lineRule="auto"/>
        <w:ind w:left="12"/>
        <w:jc w:val="both"/>
        <w:rPr>
          <w:rFonts w:ascii="Times New Roman" w:eastAsia="Times New Roman" w:hAnsi="Times New Roman" w:cs="Times New Roman"/>
          <w:b/>
          <w:sz w:val="24"/>
          <w:szCs w:val="24"/>
          <w:lang w:eastAsia="hr-HR"/>
        </w:rPr>
      </w:pPr>
    </w:p>
    <w:p w:rsidR="003A580F" w:rsidRDefault="003A580F" w:rsidP="003A580F">
      <w:pPr>
        <w:spacing w:after="0" w:line="240" w:lineRule="auto"/>
        <w:jc w:val="both"/>
        <w:rPr>
          <w:rFonts w:ascii="Times New Roman" w:eastAsia="Times New Roman" w:hAnsi="Times New Roman" w:cs="Times New Roman"/>
          <w:b/>
          <w:sz w:val="24"/>
          <w:szCs w:val="24"/>
          <w:lang w:eastAsia="hr-HR"/>
        </w:rPr>
      </w:pPr>
      <w:r w:rsidRPr="003A580F">
        <w:rPr>
          <w:noProof/>
          <w:lang w:eastAsia="hr-HR"/>
        </w:rPr>
        <w:drawing>
          <wp:inline distT="0" distB="0" distL="0" distR="0" wp14:anchorId="3D584377" wp14:editId="7E20FAAD">
            <wp:extent cx="5760720" cy="3255407"/>
            <wp:effectExtent l="0" t="0" r="0" b="254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3255407"/>
                    </a:xfrm>
                    <a:prstGeom prst="rect">
                      <a:avLst/>
                    </a:prstGeom>
                    <a:noFill/>
                    <a:ln>
                      <a:noFill/>
                    </a:ln>
                  </pic:spPr>
                </pic:pic>
              </a:graphicData>
            </a:graphic>
          </wp:inline>
        </w:drawing>
      </w:r>
    </w:p>
    <w:p w:rsidR="003A580F" w:rsidRDefault="003A580F" w:rsidP="003A580F">
      <w:pPr>
        <w:pStyle w:val="Odlomakpopisa"/>
        <w:spacing w:after="0" w:line="240" w:lineRule="auto"/>
        <w:ind w:left="0"/>
        <w:jc w:val="both"/>
        <w:rPr>
          <w:rFonts w:ascii="Times New Roman" w:eastAsia="Times New Roman" w:hAnsi="Times New Roman" w:cs="Times New Roman"/>
          <w:sz w:val="18"/>
          <w:szCs w:val="18"/>
          <w:lang w:eastAsia="hr-HR"/>
        </w:rPr>
      </w:pPr>
      <w:r>
        <w:rPr>
          <w:rFonts w:ascii="Times New Roman" w:eastAsia="Times New Roman" w:hAnsi="Times New Roman" w:cs="Times New Roman"/>
          <w:sz w:val="18"/>
          <w:szCs w:val="18"/>
          <w:lang w:eastAsia="hr-HR"/>
        </w:rPr>
        <w:t>* dodana dodijeljena sredstva za 2021. i 2022.</w:t>
      </w:r>
    </w:p>
    <w:p w:rsidR="00B56633" w:rsidRDefault="003A580F" w:rsidP="003A580F">
      <w:pPr>
        <w:pStyle w:val="xmsonormal"/>
        <w:shd w:val="clear" w:color="auto" w:fill="FFFFFF"/>
        <w:jc w:val="both"/>
        <w:rPr>
          <w:bCs/>
          <w:color w:val="212121"/>
        </w:rPr>
      </w:pPr>
      <w:r>
        <w:rPr>
          <w:bCs/>
          <w:color w:val="212121"/>
        </w:rPr>
        <w:t>Rok za korištenje sredstava za korisnike projekata koji su se financirali iz Europskog fonda za regionalni razvoj, Kohezijskog fonda, Europskog socijalnog fonda, Inicijative za zapošljavanje mladih, Fonda za potrebite i osnovnu materijalnu pomoć, Europskog fonda za pomorstvo i ribarstvo i Teritorijalne suradnje istekao je 31. prosinca 2023. godine</w:t>
      </w:r>
      <w:r w:rsidR="00B56633">
        <w:rPr>
          <w:bCs/>
          <w:color w:val="212121"/>
        </w:rPr>
        <w:t>.</w:t>
      </w:r>
      <w:r>
        <w:rPr>
          <w:bCs/>
          <w:color w:val="212121"/>
        </w:rPr>
        <w:t xml:space="preserve"> </w:t>
      </w:r>
      <w:r w:rsidR="00B56633">
        <w:rPr>
          <w:bCs/>
          <w:color w:val="212121"/>
        </w:rPr>
        <w:t>Za navedene programe poslani su završni financijski izvještaji u veljači 2026. godine.</w:t>
      </w:r>
    </w:p>
    <w:p w:rsidR="00B56633" w:rsidRDefault="00B56633" w:rsidP="003A580F">
      <w:pPr>
        <w:pStyle w:val="xmsonormal"/>
        <w:shd w:val="clear" w:color="auto" w:fill="FFFFFF"/>
        <w:jc w:val="both"/>
        <w:rPr>
          <w:bCs/>
          <w:color w:val="212121"/>
        </w:rPr>
      </w:pPr>
      <w:r>
        <w:rPr>
          <w:bCs/>
          <w:color w:val="212121"/>
        </w:rPr>
        <w:t xml:space="preserve">Rok za korištenje sredstava </w:t>
      </w:r>
      <w:r w:rsidRPr="00B56633">
        <w:rPr>
          <w:bCs/>
          <w:color w:val="212121"/>
        </w:rPr>
        <w:t xml:space="preserve">za korisnike projekata koji su se financirali iz </w:t>
      </w:r>
      <w:r w:rsidR="003A580F">
        <w:rPr>
          <w:bCs/>
          <w:color w:val="212121"/>
        </w:rPr>
        <w:t>Fond</w:t>
      </w:r>
      <w:r>
        <w:rPr>
          <w:bCs/>
          <w:color w:val="212121"/>
        </w:rPr>
        <w:t>a</w:t>
      </w:r>
      <w:r w:rsidR="003A580F">
        <w:rPr>
          <w:bCs/>
          <w:color w:val="212121"/>
        </w:rPr>
        <w:t xml:space="preserve"> za azil, migracije i integraciju i Fond</w:t>
      </w:r>
      <w:r>
        <w:rPr>
          <w:bCs/>
          <w:color w:val="212121"/>
        </w:rPr>
        <w:t>a</w:t>
      </w:r>
      <w:r w:rsidR="003A580F">
        <w:rPr>
          <w:bCs/>
          <w:color w:val="212121"/>
        </w:rPr>
        <w:t xml:space="preserve"> za unutarnju sigurnost </w:t>
      </w:r>
      <w:r>
        <w:rPr>
          <w:bCs/>
          <w:color w:val="212121"/>
        </w:rPr>
        <w:t>istekao je</w:t>
      </w:r>
      <w:r w:rsidR="003A580F">
        <w:rPr>
          <w:bCs/>
          <w:color w:val="212121"/>
        </w:rPr>
        <w:t xml:space="preserve"> 30. lipnja 2024. godine</w:t>
      </w:r>
      <w:r w:rsidR="002A27EA">
        <w:rPr>
          <w:bCs/>
          <w:color w:val="212121"/>
        </w:rPr>
        <w:t>. Za navedene programe poslani su završni izvještaji u prosincu 2024. godine.</w:t>
      </w:r>
    </w:p>
    <w:p w:rsidR="0080475D" w:rsidRDefault="0080475D" w:rsidP="003A580F">
      <w:pPr>
        <w:pStyle w:val="xmsonormal"/>
        <w:shd w:val="clear" w:color="auto" w:fill="FFFFFF"/>
        <w:jc w:val="both"/>
        <w:rPr>
          <w:bCs/>
          <w:color w:val="212121"/>
        </w:rPr>
      </w:pPr>
      <w:r>
        <w:rPr>
          <w:bCs/>
          <w:color w:val="212121"/>
        </w:rPr>
        <w:t>Postupak ocijene poslanih financijskih izvještaja od strane Europske komisije je u tijeku.</w:t>
      </w:r>
    </w:p>
    <w:p w:rsidR="003A580F" w:rsidRDefault="00B56633" w:rsidP="003A580F">
      <w:pPr>
        <w:pStyle w:val="xmsonormal"/>
        <w:shd w:val="clear" w:color="auto" w:fill="FFFFFF"/>
        <w:jc w:val="both"/>
        <w:rPr>
          <w:bCs/>
          <w:color w:val="212121"/>
        </w:rPr>
      </w:pPr>
      <w:r w:rsidRPr="00B56633">
        <w:rPr>
          <w:bCs/>
          <w:color w:val="212121"/>
        </w:rPr>
        <w:t>Rok za korištenje sredstava</w:t>
      </w:r>
      <w:r w:rsidRPr="00B56633">
        <w:t xml:space="preserve"> </w:t>
      </w:r>
      <w:r w:rsidRPr="00B56633">
        <w:rPr>
          <w:bCs/>
          <w:color w:val="212121"/>
        </w:rPr>
        <w:t xml:space="preserve">za korisnike projekata koji su se financirali iz </w:t>
      </w:r>
      <w:r>
        <w:rPr>
          <w:bCs/>
          <w:color w:val="212121"/>
        </w:rPr>
        <w:t xml:space="preserve"> Europskog poljoprivrednog </w:t>
      </w:r>
      <w:r w:rsidR="003A580F">
        <w:rPr>
          <w:bCs/>
          <w:color w:val="212121"/>
        </w:rPr>
        <w:t>fond</w:t>
      </w:r>
      <w:r>
        <w:rPr>
          <w:bCs/>
          <w:color w:val="212121"/>
        </w:rPr>
        <w:t>a</w:t>
      </w:r>
      <w:r w:rsidR="003A580F">
        <w:rPr>
          <w:bCs/>
          <w:color w:val="212121"/>
        </w:rPr>
        <w:t xml:space="preserve"> za ruralni razvoj </w:t>
      </w:r>
      <w:r w:rsidR="00CC4DB9">
        <w:rPr>
          <w:bCs/>
          <w:color w:val="212121"/>
        </w:rPr>
        <w:t>istekao je</w:t>
      </w:r>
      <w:r w:rsidR="003A580F">
        <w:rPr>
          <w:bCs/>
          <w:color w:val="212121"/>
        </w:rPr>
        <w:t xml:space="preserve"> 31. prosinca 2025. godine, a rok za slanje završnog zahtjeva za plaćanje prema Europskoj komisiji je </w:t>
      </w:r>
      <w:r w:rsidR="00145BE9">
        <w:rPr>
          <w:bCs/>
          <w:color w:val="212121"/>
        </w:rPr>
        <w:t>30</w:t>
      </w:r>
      <w:r w:rsidR="003A580F">
        <w:rPr>
          <w:bCs/>
          <w:color w:val="212121"/>
        </w:rPr>
        <w:t xml:space="preserve">. lipanj 2026. godine. </w:t>
      </w:r>
    </w:p>
    <w:p w:rsidR="004B20D7" w:rsidRDefault="004B20D7" w:rsidP="003A580F">
      <w:pPr>
        <w:pStyle w:val="xmsonormal"/>
        <w:shd w:val="clear" w:color="auto" w:fill="FFFFFF"/>
        <w:jc w:val="both"/>
        <w:rPr>
          <w:b/>
          <w:bCs/>
          <w:color w:val="212121"/>
        </w:rPr>
      </w:pPr>
    </w:p>
    <w:p w:rsidR="003A580F" w:rsidRDefault="003A580F" w:rsidP="003A580F">
      <w:pPr>
        <w:pStyle w:val="xmsonormal"/>
        <w:shd w:val="clear" w:color="auto" w:fill="FFFFFF"/>
        <w:jc w:val="both"/>
        <w:rPr>
          <w:bCs/>
          <w:color w:val="212121"/>
        </w:rPr>
      </w:pPr>
      <w:r>
        <w:rPr>
          <w:b/>
          <w:bCs/>
          <w:color w:val="212121"/>
        </w:rPr>
        <w:lastRenderedPageBreak/>
        <w:t>Programsko razdoblje 2021. - 2027.</w:t>
      </w:r>
      <w:r>
        <w:rPr>
          <w:bCs/>
          <w:color w:val="212121"/>
        </w:rPr>
        <w:t xml:space="preserve"> – na raspolaganju su sredstva u ukupnom iznosu 13,06 milijardi eura (Tablica 4) te su raspodijeljena na Kohezijsku politiku (Europski fond za regionalni razvoj, Europski socijalni fond+ i Kohezijski fond), Fond za pravednu tranziciju, Europski fond za pomorstvo, ribarstvo i akvakulturu, Fond za azil, migracije i integraciju, Fond za unutarnju sigurnost, Instrument za financijsku potporu u području upravljanje granicama i vizne politike, Europski poljoprivredni fond za ruralni razvoj i Europski fond za jamstva u poljoprivredi za razdoblje od 2023. do 2027. godine. Rok za korištenje sredstava za korisnike sredstava iz navedenih fondova je 31. prosinca 2029. godine, odnosno 31. prosinca 2030. godine</w:t>
      </w:r>
      <w:r w:rsidR="006C64FA">
        <w:rPr>
          <w:bCs/>
          <w:color w:val="212121"/>
        </w:rPr>
        <w:t xml:space="preserve"> za Europski fond za regionalni razvoj</w:t>
      </w:r>
      <w:r w:rsidR="004B20D7">
        <w:rPr>
          <w:bCs/>
          <w:color w:val="212121"/>
        </w:rPr>
        <w:t xml:space="preserve">, </w:t>
      </w:r>
      <w:r w:rsidR="006C64FA">
        <w:rPr>
          <w:bCs/>
          <w:color w:val="212121"/>
        </w:rPr>
        <w:t>Kohezijski fond</w:t>
      </w:r>
      <w:r w:rsidR="004B20D7">
        <w:rPr>
          <w:bCs/>
          <w:color w:val="212121"/>
        </w:rPr>
        <w:t xml:space="preserve"> i Fond za pravednu tranziciju</w:t>
      </w:r>
      <w:r w:rsidR="006C64FA">
        <w:rPr>
          <w:bCs/>
          <w:color w:val="212121"/>
        </w:rPr>
        <w:t>.</w:t>
      </w:r>
    </w:p>
    <w:p w:rsidR="003A580F" w:rsidRDefault="003A580F" w:rsidP="003A580F">
      <w:pPr>
        <w:pStyle w:val="xmsonormal"/>
        <w:shd w:val="clear" w:color="auto" w:fill="FFFFFF"/>
        <w:ind w:left="12"/>
        <w:jc w:val="both"/>
        <w:rPr>
          <w:noProof/>
        </w:rPr>
      </w:pPr>
      <w:r>
        <w:rPr>
          <w:b/>
          <w:bCs/>
          <w:color w:val="212121"/>
        </w:rPr>
        <w:t>Tablica 4: Ukupno dodijeljena sredstva Republici Hrvatskoj, uplaćena sredstva iz proračuna Europske unije te ukupno isplaćena sredstva za odobrene zahtjeve korisnika po fondovima Europske unije od 1. studenog 2022. godine do 31. prosinca 2025. godine iz fondova Europske unije za programsko razdoblje 2021. - 2027.</w:t>
      </w:r>
    </w:p>
    <w:p w:rsidR="003A580F" w:rsidRDefault="003A580F" w:rsidP="003A580F">
      <w:pPr>
        <w:spacing w:after="0" w:line="240" w:lineRule="auto"/>
        <w:jc w:val="both"/>
        <w:rPr>
          <w:rFonts w:ascii="Times New Roman" w:eastAsia="Times New Roman" w:hAnsi="Times New Roman" w:cs="Times New Roman"/>
          <w:b/>
          <w:sz w:val="24"/>
          <w:szCs w:val="24"/>
          <w:lang w:eastAsia="hr-HR"/>
        </w:rPr>
      </w:pPr>
      <w:r w:rsidRPr="003A580F">
        <w:rPr>
          <w:noProof/>
          <w:lang w:eastAsia="hr-HR"/>
        </w:rPr>
        <w:drawing>
          <wp:inline distT="0" distB="0" distL="0" distR="0" wp14:anchorId="523DC5DE" wp14:editId="26DCBBC7">
            <wp:extent cx="5760720" cy="3255407"/>
            <wp:effectExtent l="0" t="0" r="0" b="254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3255407"/>
                    </a:xfrm>
                    <a:prstGeom prst="rect">
                      <a:avLst/>
                    </a:prstGeom>
                    <a:noFill/>
                    <a:ln>
                      <a:noFill/>
                    </a:ln>
                  </pic:spPr>
                </pic:pic>
              </a:graphicData>
            </a:graphic>
          </wp:inline>
        </w:drawing>
      </w:r>
    </w:p>
    <w:p w:rsidR="003A580F" w:rsidRDefault="003A580F" w:rsidP="003A580F">
      <w:pPr>
        <w:spacing w:after="0" w:line="240" w:lineRule="auto"/>
        <w:jc w:val="both"/>
        <w:rPr>
          <w:rFonts w:ascii="Times New Roman" w:eastAsia="Times New Roman" w:hAnsi="Times New Roman" w:cs="Times New Roman"/>
          <w:b/>
          <w:sz w:val="24"/>
          <w:szCs w:val="24"/>
          <w:lang w:eastAsia="hr-HR"/>
        </w:rPr>
      </w:pPr>
    </w:p>
    <w:p w:rsidR="003A580F" w:rsidRDefault="003A580F" w:rsidP="003A580F">
      <w:pPr>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Osim spomenutih sredstava Europske unije, Republika Hrvatska koristila je i sredstva Fonda solidarnosti Europske unije i Mehanizma za oporavak i otpornost. </w:t>
      </w:r>
    </w:p>
    <w:p w:rsidR="004B20D7" w:rsidRDefault="004B20D7" w:rsidP="003A580F">
      <w:pPr>
        <w:spacing w:after="0" w:line="240" w:lineRule="auto"/>
        <w:jc w:val="both"/>
        <w:rPr>
          <w:rFonts w:ascii="Times New Roman" w:eastAsia="Times New Roman" w:hAnsi="Times New Roman" w:cs="Times New Roman"/>
          <w:b/>
          <w:sz w:val="24"/>
          <w:szCs w:val="24"/>
          <w:lang w:eastAsia="hr-HR"/>
        </w:rPr>
      </w:pPr>
    </w:p>
    <w:p w:rsidR="003A580F" w:rsidRDefault="003A580F" w:rsidP="003A580F">
      <w:pPr>
        <w:spacing w:after="0" w:line="240" w:lineRule="auto"/>
        <w:jc w:val="both"/>
        <w:rPr>
          <w:rFonts w:ascii="Times New Roman" w:eastAsia="Times New Roman" w:hAnsi="Times New Roman" w:cs="Times New Roman"/>
          <w:b/>
          <w:sz w:val="24"/>
          <w:szCs w:val="24"/>
          <w:lang w:eastAsia="hr-HR"/>
        </w:rPr>
      </w:pPr>
      <w:r>
        <w:rPr>
          <w:rFonts w:ascii="Times New Roman" w:eastAsia="Times New Roman" w:hAnsi="Times New Roman" w:cs="Times New Roman"/>
          <w:b/>
          <w:sz w:val="24"/>
          <w:szCs w:val="24"/>
          <w:lang w:eastAsia="hr-HR"/>
        </w:rPr>
        <w:t>Fond solidarnosti Europske unije</w:t>
      </w:r>
    </w:p>
    <w:p w:rsidR="003A580F" w:rsidRDefault="003A580F" w:rsidP="003A580F">
      <w:pPr>
        <w:spacing w:after="0" w:line="240" w:lineRule="auto"/>
        <w:jc w:val="both"/>
        <w:rPr>
          <w:rFonts w:ascii="Times New Roman" w:eastAsia="Times New Roman" w:hAnsi="Times New Roman" w:cs="Times New Roman"/>
          <w:b/>
          <w:sz w:val="24"/>
          <w:szCs w:val="24"/>
          <w:lang w:eastAsia="hr-HR"/>
        </w:rPr>
      </w:pPr>
    </w:p>
    <w:p w:rsidR="003A580F" w:rsidRDefault="003A580F" w:rsidP="003A580F">
      <w:pPr>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Iz Fonda solidarnosti Europske unije Republici Hrvatskoj na raspolaganju su bila sredstva u ukupnom iznosu 1,01 milijardi eura (Tablica 5) namijenjenih za saniranje posljedica prouzročenih po</w:t>
      </w:r>
      <w:bookmarkStart w:id="0" w:name="_GoBack"/>
      <w:bookmarkEnd w:id="0"/>
      <w:r>
        <w:rPr>
          <w:rFonts w:ascii="Times New Roman" w:eastAsia="Times New Roman" w:hAnsi="Times New Roman" w:cs="Times New Roman"/>
          <w:sz w:val="24"/>
          <w:szCs w:val="24"/>
          <w:lang w:eastAsia="hr-HR"/>
        </w:rPr>
        <w:t>tresom te u području zdravstva za suzbijanje pandemije COVID-19. Provedba i korištenje sredstava su završili 30. lipnja 2023. godine</w:t>
      </w:r>
    </w:p>
    <w:p w:rsidR="003A580F" w:rsidRDefault="003A580F" w:rsidP="003A580F">
      <w:pPr>
        <w:spacing w:after="0" w:line="240" w:lineRule="auto"/>
        <w:jc w:val="both"/>
        <w:rPr>
          <w:rFonts w:ascii="Times New Roman" w:eastAsia="Times New Roman" w:hAnsi="Times New Roman" w:cs="Times New Roman"/>
          <w:sz w:val="24"/>
          <w:szCs w:val="24"/>
          <w:lang w:eastAsia="hr-HR"/>
        </w:rPr>
      </w:pPr>
    </w:p>
    <w:p w:rsidR="003A580F" w:rsidRDefault="003A580F" w:rsidP="003A580F">
      <w:pPr>
        <w:spacing w:after="0" w:line="240" w:lineRule="auto"/>
        <w:jc w:val="both"/>
        <w:rPr>
          <w:rFonts w:ascii="Times New Roman" w:eastAsia="Times New Roman" w:hAnsi="Times New Roman" w:cs="Times New Roman"/>
          <w:sz w:val="24"/>
          <w:szCs w:val="24"/>
          <w:lang w:eastAsia="hr-HR"/>
        </w:rPr>
      </w:pPr>
    </w:p>
    <w:p w:rsidR="003A580F" w:rsidRDefault="003A580F" w:rsidP="003A580F">
      <w:pPr>
        <w:spacing w:after="0" w:line="240" w:lineRule="auto"/>
        <w:jc w:val="both"/>
        <w:rPr>
          <w:rFonts w:ascii="Times New Roman" w:eastAsia="Times New Roman" w:hAnsi="Times New Roman" w:cs="Times New Roman"/>
          <w:sz w:val="24"/>
          <w:szCs w:val="24"/>
          <w:lang w:eastAsia="hr-HR"/>
        </w:rPr>
      </w:pPr>
    </w:p>
    <w:p w:rsidR="005F6220" w:rsidRDefault="005F6220" w:rsidP="003A580F">
      <w:pPr>
        <w:spacing w:after="0" w:line="240" w:lineRule="auto"/>
        <w:jc w:val="both"/>
        <w:rPr>
          <w:rFonts w:ascii="Times New Roman" w:eastAsia="Times New Roman" w:hAnsi="Times New Roman" w:cs="Times New Roman"/>
          <w:sz w:val="24"/>
          <w:szCs w:val="24"/>
          <w:lang w:eastAsia="hr-HR"/>
        </w:rPr>
      </w:pPr>
    </w:p>
    <w:p w:rsidR="005F6220" w:rsidRDefault="005F6220" w:rsidP="003A580F">
      <w:pPr>
        <w:spacing w:after="0" w:line="240" w:lineRule="auto"/>
        <w:jc w:val="both"/>
        <w:rPr>
          <w:rFonts w:ascii="Times New Roman" w:eastAsia="Times New Roman" w:hAnsi="Times New Roman" w:cs="Times New Roman"/>
          <w:sz w:val="24"/>
          <w:szCs w:val="24"/>
          <w:lang w:eastAsia="hr-HR"/>
        </w:rPr>
      </w:pPr>
    </w:p>
    <w:p w:rsidR="003A580F" w:rsidRDefault="003A580F" w:rsidP="003A580F">
      <w:pPr>
        <w:spacing w:after="0" w:line="240" w:lineRule="auto"/>
        <w:jc w:val="both"/>
        <w:rPr>
          <w:rFonts w:ascii="Times New Roman" w:eastAsia="Times New Roman" w:hAnsi="Times New Roman" w:cs="Times New Roman"/>
          <w:sz w:val="24"/>
          <w:szCs w:val="24"/>
          <w:lang w:eastAsia="hr-HR"/>
        </w:rPr>
      </w:pPr>
    </w:p>
    <w:p w:rsidR="003A580F" w:rsidRDefault="003A580F" w:rsidP="003A580F">
      <w:pPr>
        <w:spacing w:after="0" w:line="240" w:lineRule="auto"/>
        <w:jc w:val="both"/>
        <w:rPr>
          <w:rFonts w:ascii="Times New Roman" w:eastAsia="Times New Roman" w:hAnsi="Times New Roman" w:cs="Times New Roman"/>
          <w:b/>
          <w:sz w:val="24"/>
          <w:szCs w:val="24"/>
          <w:lang w:eastAsia="hr-HR"/>
        </w:rPr>
      </w:pPr>
      <w:r>
        <w:rPr>
          <w:rFonts w:ascii="Times New Roman" w:eastAsia="Times New Roman" w:hAnsi="Times New Roman" w:cs="Times New Roman"/>
          <w:b/>
          <w:sz w:val="24"/>
          <w:szCs w:val="24"/>
          <w:lang w:eastAsia="hr-HR"/>
        </w:rPr>
        <w:lastRenderedPageBreak/>
        <w:t>Tablica 5: Ukupno dodijeljena sredstva Republici Hrvatskoj, uplaćena sredstva iz proračuna Europske unije te ukupno isplaćena sredstva za odobrene zahtjeve korisnika od 18. kolovoza 2020. godine do 30. lipnja 2023. godine iz Fonda solidarnosti Europske unije</w:t>
      </w:r>
    </w:p>
    <w:p w:rsidR="003A580F" w:rsidRDefault="003A580F" w:rsidP="003A580F">
      <w:pPr>
        <w:spacing w:after="0" w:line="240" w:lineRule="auto"/>
        <w:jc w:val="both"/>
        <w:rPr>
          <w:rFonts w:ascii="Times New Roman" w:eastAsia="Times New Roman" w:hAnsi="Times New Roman" w:cs="Times New Roman"/>
          <w:b/>
          <w:sz w:val="24"/>
          <w:szCs w:val="24"/>
          <w:lang w:eastAsia="hr-HR"/>
        </w:rPr>
      </w:pPr>
    </w:p>
    <w:p w:rsidR="003A580F" w:rsidRDefault="003A580F" w:rsidP="003A580F">
      <w:pPr>
        <w:spacing w:after="0" w:line="240" w:lineRule="auto"/>
        <w:jc w:val="both"/>
        <w:rPr>
          <w:rFonts w:ascii="Times New Roman" w:eastAsia="Times New Roman" w:hAnsi="Times New Roman" w:cs="Times New Roman"/>
          <w:b/>
          <w:sz w:val="24"/>
          <w:szCs w:val="24"/>
          <w:lang w:eastAsia="hr-HR"/>
        </w:rPr>
      </w:pPr>
      <w:r w:rsidRPr="003A580F">
        <w:rPr>
          <w:noProof/>
          <w:lang w:eastAsia="hr-HR"/>
        </w:rPr>
        <w:drawing>
          <wp:inline distT="0" distB="0" distL="0" distR="0" wp14:anchorId="7D1C8ADF" wp14:editId="4B087516">
            <wp:extent cx="5760720" cy="1107138"/>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1107138"/>
                    </a:xfrm>
                    <a:prstGeom prst="rect">
                      <a:avLst/>
                    </a:prstGeom>
                    <a:noFill/>
                    <a:ln>
                      <a:noFill/>
                    </a:ln>
                  </pic:spPr>
                </pic:pic>
              </a:graphicData>
            </a:graphic>
          </wp:inline>
        </w:drawing>
      </w:r>
    </w:p>
    <w:p w:rsidR="003A580F" w:rsidRDefault="003A580F" w:rsidP="003A580F">
      <w:pPr>
        <w:spacing w:after="0" w:line="240" w:lineRule="auto"/>
        <w:jc w:val="both"/>
        <w:rPr>
          <w:rFonts w:ascii="Times New Roman" w:eastAsia="Times New Roman" w:hAnsi="Times New Roman" w:cs="Times New Roman"/>
          <w:b/>
          <w:sz w:val="24"/>
          <w:szCs w:val="24"/>
          <w:lang w:eastAsia="hr-HR"/>
        </w:rPr>
      </w:pPr>
    </w:p>
    <w:p w:rsidR="003A580F" w:rsidRDefault="003A580F" w:rsidP="003A580F">
      <w:pPr>
        <w:spacing w:after="0" w:line="240" w:lineRule="auto"/>
        <w:jc w:val="both"/>
        <w:rPr>
          <w:rFonts w:ascii="Times New Roman" w:eastAsia="Times New Roman" w:hAnsi="Times New Roman" w:cs="Times New Roman"/>
          <w:b/>
          <w:sz w:val="24"/>
          <w:szCs w:val="24"/>
          <w:lang w:eastAsia="hr-HR"/>
        </w:rPr>
      </w:pPr>
    </w:p>
    <w:p w:rsidR="003A580F" w:rsidRDefault="003A580F" w:rsidP="003A580F">
      <w:pPr>
        <w:spacing w:after="0" w:line="240" w:lineRule="auto"/>
        <w:jc w:val="both"/>
        <w:rPr>
          <w:rFonts w:ascii="Times New Roman" w:eastAsia="Times New Roman" w:hAnsi="Times New Roman" w:cs="Times New Roman"/>
          <w:b/>
          <w:sz w:val="24"/>
          <w:szCs w:val="24"/>
          <w:lang w:eastAsia="hr-HR"/>
        </w:rPr>
      </w:pPr>
      <w:r>
        <w:rPr>
          <w:rFonts w:ascii="Times New Roman" w:eastAsia="Times New Roman" w:hAnsi="Times New Roman" w:cs="Times New Roman"/>
          <w:b/>
          <w:sz w:val="24"/>
          <w:szCs w:val="24"/>
          <w:lang w:eastAsia="hr-HR"/>
        </w:rPr>
        <w:t>Mehanizam za oporavak i otpornost</w:t>
      </w:r>
    </w:p>
    <w:p w:rsidR="003A580F" w:rsidRDefault="003A580F" w:rsidP="003A580F">
      <w:pPr>
        <w:spacing w:after="0" w:line="240" w:lineRule="auto"/>
        <w:jc w:val="both"/>
        <w:rPr>
          <w:rFonts w:ascii="Times New Roman" w:eastAsia="Times New Roman" w:hAnsi="Times New Roman" w:cs="Times New Roman"/>
          <w:sz w:val="24"/>
          <w:szCs w:val="24"/>
          <w:lang w:eastAsia="hr-HR"/>
        </w:rPr>
      </w:pPr>
    </w:p>
    <w:p w:rsidR="003A580F" w:rsidRDefault="003A580F" w:rsidP="003A580F">
      <w:pPr>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Republici Hrvatskoj su kroz instrument EU slijedeće generacije u okviru Mehanizma za oporavak i otpornost dodijeljena financijska sredstava u iznosu od 10,04 milijardi eura (Tablica 6) od čega je 5,79 milijardi eura bespovratnih sredstava, a 4,25 milijardi eura zajmova za razdoblje 2021.-2026. Provedba je u tijeku.</w:t>
      </w:r>
    </w:p>
    <w:p w:rsidR="003A580F" w:rsidRDefault="003A580F" w:rsidP="003A580F">
      <w:pPr>
        <w:spacing w:after="0" w:line="240" w:lineRule="auto"/>
        <w:jc w:val="both"/>
        <w:rPr>
          <w:rFonts w:ascii="Times New Roman" w:eastAsia="Times New Roman" w:hAnsi="Times New Roman" w:cs="Times New Roman"/>
          <w:sz w:val="20"/>
          <w:szCs w:val="20"/>
          <w:lang w:eastAsia="hr-HR"/>
        </w:rPr>
      </w:pPr>
    </w:p>
    <w:p w:rsidR="003A580F" w:rsidRDefault="003A580F" w:rsidP="003A580F">
      <w:pPr>
        <w:spacing w:after="0" w:line="240" w:lineRule="auto"/>
        <w:jc w:val="both"/>
        <w:rPr>
          <w:rFonts w:ascii="Times New Roman" w:eastAsia="Times New Roman" w:hAnsi="Times New Roman" w:cs="Times New Roman"/>
          <w:b/>
          <w:sz w:val="24"/>
          <w:szCs w:val="24"/>
          <w:lang w:eastAsia="hr-HR"/>
        </w:rPr>
      </w:pPr>
      <w:r>
        <w:rPr>
          <w:rFonts w:ascii="Times New Roman" w:eastAsia="Times New Roman" w:hAnsi="Times New Roman" w:cs="Times New Roman"/>
          <w:b/>
          <w:sz w:val="24"/>
          <w:szCs w:val="24"/>
          <w:lang w:eastAsia="hr-HR"/>
        </w:rPr>
        <w:t>Tablica 6: Ukupno dodijeljena sredstva Republici Hrvatskoj, uplaćena sredstva iz proračuna Europske unije te ukupno isplaćena sredstva za odobrene zahtjeve korisnika od 28. rujna 2021. godine do 31. prosinca 2025. godine iz Mehanizama za oporavak i otpornost za razdoblje 2021.-2026.</w:t>
      </w:r>
    </w:p>
    <w:p w:rsidR="003A580F" w:rsidRDefault="003A580F" w:rsidP="003A580F">
      <w:pPr>
        <w:spacing w:after="0" w:line="240" w:lineRule="auto"/>
        <w:jc w:val="both"/>
        <w:rPr>
          <w:rFonts w:ascii="Times New Roman" w:eastAsia="Times New Roman" w:hAnsi="Times New Roman" w:cs="Times New Roman"/>
          <w:b/>
          <w:sz w:val="24"/>
          <w:szCs w:val="24"/>
          <w:lang w:eastAsia="hr-HR"/>
        </w:rPr>
      </w:pPr>
    </w:p>
    <w:p w:rsidR="003A580F" w:rsidRDefault="003A580F" w:rsidP="003A580F">
      <w:pPr>
        <w:spacing w:after="0" w:line="240" w:lineRule="auto"/>
        <w:jc w:val="both"/>
        <w:rPr>
          <w:rFonts w:ascii="Times New Roman" w:eastAsia="Times New Roman" w:hAnsi="Times New Roman" w:cs="Times New Roman"/>
          <w:b/>
          <w:sz w:val="28"/>
          <w:szCs w:val="24"/>
          <w:lang w:eastAsia="hr-HR"/>
        </w:rPr>
      </w:pPr>
      <w:r w:rsidRPr="003A580F">
        <w:rPr>
          <w:noProof/>
          <w:lang w:eastAsia="hr-HR"/>
        </w:rPr>
        <w:drawing>
          <wp:inline distT="0" distB="0" distL="0" distR="0" wp14:anchorId="1E80B25F" wp14:editId="4A47B722">
            <wp:extent cx="5760720" cy="1107138"/>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1107138"/>
                    </a:xfrm>
                    <a:prstGeom prst="rect">
                      <a:avLst/>
                    </a:prstGeom>
                    <a:noFill/>
                    <a:ln>
                      <a:noFill/>
                    </a:ln>
                  </pic:spPr>
                </pic:pic>
              </a:graphicData>
            </a:graphic>
          </wp:inline>
        </w:drawing>
      </w:r>
    </w:p>
    <w:p w:rsidR="003A580F" w:rsidRDefault="003A580F" w:rsidP="003A580F">
      <w:pPr>
        <w:spacing w:after="0" w:line="240" w:lineRule="auto"/>
        <w:jc w:val="both"/>
        <w:rPr>
          <w:rFonts w:ascii="Times New Roman" w:eastAsia="Times New Roman" w:hAnsi="Times New Roman" w:cs="Times New Roman"/>
          <w:b/>
          <w:sz w:val="28"/>
          <w:szCs w:val="24"/>
          <w:lang w:eastAsia="hr-HR"/>
        </w:rPr>
      </w:pPr>
    </w:p>
    <w:p w:rsidR="003A580F" w:rsidRPr="0098624A" w:rsidRDefault="003A580F" w:rsidP="003A580F">
      <w:pPr>
        <w:spacing w:after="0" w:line="240" w:lineRule="auto"/>
        <w:jc w:val="both"/>
        <w:rPr>
          <w:rFonts w:ascii="Times New Roman" w:eastAsia="Times New Roman" w:hAnsi="Times New Roman" w:cs="Times New Roman"/>
          <w:sz w:val="24"/>
          <w:szCs w:val="24"/>
          <w:lang w:eastAsia="hr-HR"/>
        </w:rPr>
      </w:pPr>
      <w:r w:rsidRPr="0098624A">
        <w:rPr>
          <w:rFonts w:ascii="Times New Roman" w:eastAsia="Times New Roman" w:hAnsi="Times New Roman" w:cs="Times New Roman"/>
          <w:sz w:val="24"/>
          <w:szCs w:val="24"/>
          <w:lang w:eastAsia="hr-HR"/>
        </w:rPr>
        <w:t xml:space="preserve">Bespovratna sredstva i sredstva zajma MOO doznačuju se iz proračuna EU u državni proračun u obliku predujmova i polugodišnjih rata na temelju ostvarenih pokazatelja provedbe. Za svaku ratu su unaprijed definirani pokazatelji koji obuhvaćaju reforme i rezultate ulaganja. </w:t>
      </w:r>
    </w:p>
    <w:p w:rsidR="003A580F" w:rsidRPr="0098624A" w:rsidRDefault="003A580F" w:rsidP="003A580F">
      <w:pPr>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Za razliku od ostalih </w:t>
      </w:r>
      <w:r w:rsidRPr="0098624A">
        <w:rPr>
          <w:rFonts w:ascii="Times New Roman" w:eastAsia="Times New Roman" w:hAnsi="Times New Roman" w:cs="Times New Roman"/>
          <w:sz w:val="24"/>
          <w:szCs w:val="24"/>
          <w:lang w:eastAsia="hr-HR"/>
        </w:rPr>
        <w:t>fondova</w:t>
      </w:r>
      <w:r>
        <w:rPr>
          <w:rFonts w:ascii="Times New Roman" w:eastAsia="Times New Roman" w:hAnsi="Times New Roman" w:cs="Times New Roman"/>
          <w:sz w:val="24"/>
          <w:szCs w:val="24"/>
          <w:lang w:eastAsia="hr-HR"/>
        </w:rPr>
        <w:t xml:space="preserve"> EU, </w:t>
      </w:r>
      <w:r w:rsidRPr="0098624A">
        <w:rPr>
          <w:rFonts w:ascii="Times New Roman" w:eastAsia="Times New Roman" w:hAnsi="Times New Roman" w:cs="Times New Roman"/>
          <w:sz w:val="24"/>
          <w:szCs w:val="24"/>
          <w:lang w:eastAsia="hr-HR"/>
        </w:rPr>
        <w:t xml:space="preserve">kojima su temelj za uplatu sredstava iz EU proračuna nastali troškovi, za uplate sredstava iz MOO temelj su ostvareni rezultati u provedbi. </w:t>
      </w:r>
    </w:p>
    <w:p w:rsidR="003A580F" w:rsidRPr="0098624A" w:rsidRDefault="003A580F" w:rsidP="003A580F">
      <w:pPr>
        <w:spacing w:after="0" w:line="240" w:lineRule="auto"/>
        <w:jc w:val="both"/>
        <w:rPr>
          <w:rFonts w:ascii="Times New Roman" w:eastAsia="Times New Roman" w:hAnsi="Times New Roman" w:cs="Times New Roman"/>
          <w:sz w:val="24"/>
          <w:szCs w:val="24"/>
          <w:lang w:eastAsia="hr-HR"/>
        </w:rPr>
      </w:pPr>
      <w:r w:rsidRPr="0098624A">
        <w:rPr>
          <w:rFonts w:ascii="Times New Roman" w:eastAsia="Times New Roman" w:hAnsi="Times New Roman" w:cs="Times New Roman"/>
          <w:sz w:val="24"/>
          <w:szCs w:val="24"/>
          <w:lang w:eastAsia="hr-HR"/>
        </w:rPr>
        <w:t xml:space="preserve">Republika Hrvatska </w:t>
      </w:r>
      <w:r w:rsidR="00AE561B">
        <w:rPr>
          <w:rFonts w:ascii="Times New Roman" w:eastAsia="Times New Roman" w:hAnsi="Times New Roman" w:cs="Times New Roman"/>
          <w:sz w:val="24"/>
          <w:szCs w:val="24"/>
          <w:lang w:eastAsia="hr-HR"/>
        </w:rPr>
        <w:t xml:space="preserve">je do 31. prosinca 2025. </w:t>
      </w:r>
      <w:r w:rsidRPr="0098624A">
        <w:rPr>
          <w:rFonts w:ascii="Times New Roman" w:eastAsia="Times New Roman" w:hAnsi="Times New Roman" w:cs="Times New Roman"/>
          <w:sz w:val="24"/>
          <w:szCs w:val="24"/>
          <w:lang w:eastAsia="hr-HR"/>
        </w:rPr>
        <w:t>uspješno ispunila 100% p</w:t>
      </w:r>
      <w:r>
        <w:rPr>
          <w:rFonts w:ascii="Times New Roman" w:eastAsia="Times New Roman" w:hAnsi="Times New Roman" w:cs="Times New Roman"/>
          <w:sz w:val="24"/>
          <w:szCs w:val="24"/>
          <w:lang w:eastAsia="hr-HR"/>
        </w:rPr>
        <w:t>okazatelja za 8 rata i ostvarila je</w:t>
      </w:r>
      <w:r w:rsidRPr="0098624A">
        <w:rPr>
          <w:rFonts w:ascii="Times New Roman" w:eastAsia="Times New Roman" w:hAnsi="Times New Roman" w:cs="Times New Roman"/>
          <w:sz w:val="24"/>
          <w:szCs w:val="24"/>
          <w:lang w:eastAsia="hr-HR"/>
        </w:rPr>
        <w:t xml:space="preserve"> p</w:t>
      </w:r>
      <w:r>
        <w:rPr>
          <w:rFonts w:ascii="Times New Roman" w:eastAsia="Times New Roman" w:hAnsi="Times New Roman" w:cs="Times New Roman"/>
          <w:sz w:val="24"/>
          <w:szCs w:val="24"/>
          <w:lang w:eastAsia="hr-HR"/>
        </w:rPr>
        <w:t>riljeve u ukupnom iznosu od 6,39</w:t>
      </w:r>
      <w:r w:rsidRPr="0098624A">
        <w:rPr>
          <w:rFonts w:ascii="Times New Roman" w:eastAsia="Times New Roman" w:hAnsi="Times New Roman" w:cs="Times New Roman"/>
          <w:sz w:val="24"/>
          <w:szCs w:val="24"/>
          <w:lang w:eastAsia="hr-HR"/>
        </w:rPr>
        <w:t xml:space="preserve"> milijardi eura i među najuspješnijim je članicama EU. </w:t>
      </w:r>
    </w:p>
    <w:p w:rsidR="003A580F" w:rsidRDefault="003A580F" w:rsidP="003A580F">
      <w:pPr>
        <w:pStyle w:val="xmsonormal"/>
        <w:shd w:val="clear" w:color="auto" w:fill="FFFFFF"/>
        <w:jc w:val="both"/>
        <w:rPr>
          <w:b/>
        </w:rPr>
      </w:pPr>
      <w:r w:rsidRPr="0098624A">
        <w:t>Sredstva se isplaćuju korisnicima projekata na temelju odobrenih troškova u provedbi EU projekata u skladu s uobičajenom dinamikom provedbe.</w:t>
      </w:r>
    </w:p>
    <w:p w:rsidR="003A4053" w:rsidRDefault="003A4053" w:rsidP="003A580F">
      <w:pPr>
        <w:rPr>
          <w:b/>
        </w:rPr>
      </w:pPr>
    </w:p>
    <w:sectPr w:rsidR="003A4053" w:rsidSect="003C0BAE">
      <w:footerReference w:type="default" r:id="rId1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A19" w:rsidRDefault="004C5A19" w:rsidP="008B4E12">
      <w:pPr>
        <w:spacing w:after="0" w:line="240" w:lineRule="auto"/>
      </w:pPr>
      <w:r>
        <w:separator/>
      </w:r>
    </w:p>
  </w:endnote>
  <w:endnote w:type="continuationSeparator" w:id="0">
    <w:p w:rsidR="004C5A19" w:rsidRDefault="004C5A19" w:rsidP="008B4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752734900"/>
      <w:docPartObj>
        <w:docPartGallery w:val="Page Numbers (Bottom of Page)"/>
        <w:docPartUnique/>
      </w:docPartObj>
    </w:sdtPr>
    <w:sdtEndPr/>
    <w:sdtContent>
      <w:p w:rsidR="00F527BD" w:rsidRPr="00F527BD" w:rsidRDefault="00F527BD">
        <w:pPr>
          <w:pStyle w:val="Podnoje"/>
          <w:jc w:val="center"/>
          <w:rPr>
            <w:rFonts w:ascii="Times New Roman" w:hAnsi="Times New Roman" w:cs="Times New Roman"/>
            <w:sz w:val="24"/>
            <w:szCs w:val="24"/>
          </w:rPr>
        </w:pPr>
        <w:r w:rsidRPr="00F527BD">
          <w:rPr>
            <w:rFonts w:ascii="Times New Roman" w:hAnsi="Times New Roman" w:cs="Times New Roman"/>
            <w:sz w:val="24"/>
            <w:szCs w:val="24"/>
          </w:rPr>
          <w:fldChar w:fldCharType="begin"/>
        </w:r>
        <w:r w:rsidRPr="00F527BD">
          <w:rPr>
            <w:rFonts w:ascii="Times New Roman" w:hAnsi="Times New Roman" w:cs="Times New Roman"/>
            <w:sz w:val="24"/>
            <w:szCs w:val="24"/>
          </w:rPr>
          <w:instrText>PAGE   \* MERGEFORMAT</w:instrText>
        </w:r>
        <w:r w:rsidRPr="00F527BD">
          <w:rPr>
            <w:rFonts w:ascii="Times New Roman" w:hAnsi="Times New Roman" w:cs="Times New Roman"/>
            <w:sz w:val="24"/>
            <w:szCs w:val="24"/>
          </w:rPr>
          <w:fldChar w:fldCharType="separate"/>
        </w:r>
        <w:r w:rsidR="00F729DD">
          <w:rPr>
            <w:rFonts w:ascii="Times New Roman" w:hAnsi="Times New Roman" w:cs="Times New Roman"/>
            <w:noProof/>
            <w:sz w:val="24"/>
            <w:szCs w:val="24"/>
          </w:rPr>
          <w:t>1</w:t>
        </w:r>
        <w:r w:rsidRPr="00F527BD">
          <w:rPr>
            <w:rFonts w:ascii="Times New Roman" w:hAnsi="Times New Roman" w:cs="Times New Roman"/>
            <w:sz w:val="24"/>
            <w:szCs w:val="24"/>
          </w:rPr>
          <w:fldChar w:fldCharType="end"/>
        </w:r>
      </w:p>
    </w:sdtContent>
  </w:sdt>
  <w:p w:rsidR="008B4E12" w:rsidRDefault="008B4E1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A19" w:rsidRDefault="004C5A19" w:rsidP="008B4E12">
      <w:pPr>
        <w:spacing w:after="0" w:line="240" w:lineRule="auto"/>
      </w:pPr>
      <w:r>
        <w:separator/>
      </w:r>
    </w:p>
  </w:footnote>
  <w:footnote w:type="continuationSeparator" w:id="0">
    <w:p w:rsidR="004C5A19" w:rsidRDefault="004C5A19" w:rsidP="008B4E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F1B73"/>
    <w:multiLevelType w:val="hybridMultilevel"/>
    <w:tmpl w:val="89ECC686"/>
    <w:lvl w:ilvl="0" w:tplc="76646EF8">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CD73BCA"/>
    <w:multiLevelType w:val="hybridMultilevel"/>
    <w:tmpl w:val="85E2A4E2"/>
    <w:lvl w:ilvl="0" w:tplc="041A000F">
      <w:start w:val="1"/>
      <w:numFmt w:val="decimal"/>
      <w:lvlText w:val="%1."/>
      <w:lvlJc w:val="left"/>
      <w:pPr>
        <w:ind w:left="372" w:hanging="360"/>
      </w:pPr>
      <w:rPr>
        <w:rFonts w:hint="default"/>
      </w:rPr>
    </w:lvl>
    <w:lvl w:ilvl="1" w:tplc="041A0019" w:tentative="1">
      <w:start w:val="1"/>
      <w:numFmt w:val="lowerLetter"/>
      <w:lvlText w:val="%2."/>
      <w:lvlJc w:val="left"/>
      <w:pPr>
        <w:ind w:left="1092" w:hanging="360"/>
      </w:pPr>
    </w:lvl>
    <w:lvl w:ilvl="2" w:tplc="041A001B" w:tentative="1">
      <w:start w:val="1"/>
      <w:numFmt w:val="lowerRoman"/>
      <w:lvlText w:val="%3."/>
      <w:lvlJc w:val="right"/>
      <w:pPr>
        <w:ind w:left="1812" w:hanging="180"/>
      </w:pPr>
    </w:lvl>
    <w:lvl w:ilvl="3" w:tplc="041A000F" w:tentative="1">
      <w:start w:val="1"/>
      <w:numFmt w:val="decimal"/>
      <w:lvlText w:val="%4."/>
      <w:lvlJc w:val="left"/>
      <w:pPr>
        <w:ind w:left="2532" w:hanging="360"/>
      </w:pPr>
    </w:lvl>
    <w:lvl w:ilvl="4" w:tplc="041A0019" w:tentative="1">
      <w:start w:val="1"/>
      <w:numFmt w:val="lowerLetter"/>
      <w:lvlText w:val="%5."/>
      <w:lvlJc w:val="left"/>
      <w:pPr>
        <w:ind w:left="3252" w:hanging="360"/>
      </w:pPr>
    </w:lvl>
    <w:lvl w:ilvl="5" w:tplc="041A001B" w:tentative="1">
      <w:start w:val="1"/>
      <w:numFmt w:val="lowerRoman"/>
      <w:lvlText w:val="%6."/>
      <w:lvlJc w:val="right"/>
      <w:pPr>
        <w:ind w:left="3972" w:hanging="180"/>
      </w:pPr>
    </w:lvl>
    <w:lvl w:ilvl="6" w:tplc="041A000F" w:tentative="1">
      <w:start w:val="1"/>
      <w:numFmt w:val="decimal"/>
      <w:lvlText w:val="%7."/>
      <w:lvlJc w:val="left"/>
      <w:pPr>
        <w:ind w:left="4692" w:hanging="360"/>
      </w:pPr>
    </w:lvl>
    <w:lvl w:ilvl="7" w:tplc="041A0019" w:tentative="1">
      <w:start w:val="1"/>
      <w:numFmt w:val="lowerLetter"/>
      <w:lvlText w:val="%8."/>
      <w:lvlJc w:val="left"/>
      <w:pPr>
        <w:ind w:left="5412" w:hanging="360"/>
      </w:pPr>
    </w:lvl>
    <w:lvl w:ilvl="8" w:tplc="041A001B" w:tentative="1">
      <w:start w:val="1"/>
      <w:numFmt w:val="lowerRoman"/>
      <w:lvlText w:val="%9."/>
      <w:lvlJc w:val="right"/>
      <w:pPr>
        <w:ind w:left="6132" w:hanging="180"/>
      </w:pPr>
    </w:lvl>
  </w:abstractNum>
  <w:abstractNum w:abstractNumId="2" w15:restartNumberingAfterBreak="0">
    <w:nsid w:val="12297133"/>
    <w:multiLevelType w:val="hybridMultilevel"/>
    <w:tmpl w:val="6CA8E312"/>
    <w:lvl w:ilvl="0" w:tplc="DC16E59E">
      <w:start w:val="1"/>
      <w:numFmt w:val="bullet"/>
      <w:lvlText w:val=""/>
      <w:lvlJc w:val="left"/>
      <w:pPr>
        <w:ind w:left="720" w:hanging="360"/>
      </w:pPr>
      <w:rPr>
        <w:rFonts w:ascii="Symbol" w:hAnsi="Symbol" w:hint="default"/>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687D4FA4"/>
    <w:multiLevelType w:val="hybridMultilevel"/>
    <w:tmpl w:val="AFF4C8F2"/>
    <w:lvl w:ilvl="0" w:tplc="AF561D12">
      <w:start w:val="5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1D6"/>
    <w:rsid w:val="00004975"/>
    <w:rsid w:val="00030DF0"/>
    <w:rsid w:val="00034E3F"/>
    <w:rsid w:val="00045451"/>
    <w:rsid w:val="00060C5F"/>
    <w:rsid w:val="00060F7E"/>
    <w:rsid w:val="00074ACD"/>
    <w:rsid w:val="000952A3"/>
    <w:rsid w:val="00095A0C"/>
    <w:rsid w:val="000B6CEB"/>
    <w:rsid w:val="000D69A2"/>
    <w:rsid w:val="000F4B57"/>
    <w:rsid w:val="00111513"/>
    <w:rsid w:val="00122293"/>
    <w:rsid w:val="00124A70"/>
    <w:rsid w:val="00131256"/>
    <w:rsid w:val="00132827"/>
    <w:rsid w:val="00145BE9"/>
    <w:rsid w:val="00154398"/>
    <w:rsid w:val="0015476E"/>
    <w:rsid w:val="00154F1C"/>
    <w:rsid w:val="001A45C1"/>
    <w:rsid w:val="001B02C8"/>
    <w:rsid w:val="001B68B6"/>
    <w:rsid w:val="001C0A98"/>
    <w:rsid w:val="001C153A"/>
    <w:rsid w:val="001C4957"/>
    <w:rsid w:val="001E34AF"/>
    <w:rsid w:val="001E49F1"/>
    <w:rsid w:val="001E4B8B"/>
    <w:rsid w:val="001F0188"/>
    <w:rsid w:val="001F5F38"/>
    <w:rsid w:val="002009A0"/>
    <w:rsid w:val="00200B9E"/>
    <w:rsid w:val="00203E93"/>
    <w:rsid w:val="002073A9"/>
    <w:rsid w:val="00240CB2"/>
    <w:rsid w:val="0024216D"/>
    <w:rsid w:val="00256012"/>
    <w:rsid w:val="0027108E"/>
    <w:rsid w:val="002778B7"/>
    <w:rsid w:val="002941F6"/>
    <w:rsid w:val="002A18C4"/>
    <w:rsid w:val="002A27EA"/>
    <w:rsid w:val="002A3173"/>
    <w:rsid w:val="002A57E9"/>
    <w:rsid w:val="002C7CBA"/>
    <w:rsid w:val="002D0A61"/>
    <w:rsid w:val="002E0199"/>
    <w:rsid w:val="002F4111"/>
    <w:rsid w:val="002F6EC0"/>
    <w:rsid w:val="00315DDC"/>
    <w:rsid w:val="00322374"/>
    <w:rsid w:val="0032320C"/>
    <w:rsid w:val="00324EE8"/>
    <w:rsid w:val="0034108B"/>
    <w:rsid w:val="00346E85"/>
    <w:rsid w:val="0035490E"/>
    <w:rsid w:val="00366138"/>
    <w:rsid w:val="00380C90"/>
    <w:rsid w:val="00381CFB"/>
    <w:rsid w:val="00395AE0"/>
    <w:rsid w:val="003A4053"/>
    <w:rsid w:val="003A580F"/>
    <w:rsid w:val="003B788F"/>
    <w:rsid w:val="003C0BAE"/>
    <w:rsid w:val="003C344B"/>
    <w:rsid w:val="003C6F29"/>
    <w:rsid w:val="003D2004"/>
    <w:rsid w:val="003D2505"/>
    <w:rsid w:val="003F40E0"/>
    <w:rsid w:val="003F467F"/>
    <w:rsid w:val="00400339"/>
    <w:rsid w:val="004007C0"/>
    <w:rsid w:val="00407D49"/>
    <w:rsid w:val="00413676"/>
    <w:rsid w:val="004216D3"/>
    <w:rsid w:val="0044278D"/>
    <w:rsid w:val="004430A6"/>
    <w:rsid w:val="0045010B"/>
    <w:rsid w:val="00455639"/>
    <w:rsid w:val="00462D84"/>
    <w:rsid w:val="004A28E4"/>
    <w:rsid w:val="004A59AD"/>
    <w:rsid w:val="004B20D7"/>
    <w:rsid w:val="004C0D57"/>
    <w:rsid w:val="004C3E24"/>
    <w:rsid w:val="004C493D"/>
    <w:rsid w:val="004C5A19"/>
    <w:rsid w:val="004D231C"/>
    <w:rsid w:val="004D68B9"/>
    <w:rsid w:val="004D7152"/>
    <w:rsid w:val="004E06D1"/>
    <w:rsid w:val="004E1E6D"/>
    <w:rsid w:val="004E3491"/>
    <w:rsid w:val="004E477F"/>
    <w:rsid w:val="0050234C"/>
    <w:rsid w:val="00503198"/>
    <w:rsid w:val="005044B3"/>
    <w:rsid w:val="00506C7D"/>
    <w:rsid w:val="00514E42"/>
    <w:rsid w:val="00527401"/>
    <w:rsid w:val="005319B9"/>
    <w:rsid w:val="00537C18"/>
    <w:rsid w:val="00540008"/>
    <w:rsid w:val="005617DF"/>
    <w:rsid w:val="00562D03"/>
    <w:rsid w:val="00565D21"/>
    <w:rsid w:val="00571DFB"/>
    <w:rsid w:val="0057558A"/>
    <w:rsid w:val="00581869"/>
    <w:rsid w:val="005A00BD"/>
    <w:rsid w:val="005A6764"/>
    <w:rsid w:val="005B015A"/>
    <w:rsid w:val="005B18DF"/>
    <w:rsid w:val="005B78FA"/>
    <w:rsid w:val="005D121C"/>
    <w:rsid w:val="005D1342"/>
    <w:rsid w:val="005E4AA6"/>
    <w:rsid w:val="005F238C"/>
    <w:rsid w:val="005F2404"/>
    <w:rsid w:val="005F4EE6"/>
    <w:rsid w:val="005F58BF"/>
    <w:rsid w:val="005F6220"/>
    <w:rsid w:val="00602C00"/>
    <w:rsid w:val="00603EA6"/>
    <w:rsid w:val="00606258"/>
    <w:rsid w:val="006066CC"/>
    <w:rsid w:val="006109EA"/>
    <w:rsid w:val="00613D1C"/>
    <w:rsid w:val="00616EBF"/>
    <w:rsid w:val="0062588F"/>
    <w:rsid w:val="00632B83"/>
    <w:rsid w:val="006353B7"/>
    <w:rsid w:val="00682920"/>
    <w:rsid w:val="00695D30"/>
    <w:rsid w:val="006A7158"/>
    <w:rsid w:val="006C64FA"/>
    <w:rsid w:val="006D1FC2"/>
    <w:rsid w:val="006D4D86"/>
    <w:rsid w:val="006D714E"/>
    <w:rsid w:val="006E0E09"/>
    <w:rsid w:val="006F169F"/>
    <w:rsid w:val="006F183C"/>
    <w:rsid w:val="00713AFA"/>
    <w:rsid w:val="007177DA"/>
    <w:rsid w:val="00742804"/>
    <w:rsid w:val="00742EA7"/>
    <w:rsid w:val="0074721A"/>
    <w:rsid w:val="00762693"/>
    <w:rsid w:val="00763D7C"/>
    <w:rsid w:val="00763DF0"/>
    <w:rsid w:val="00765F6B"/>
    <w:rsid w:val="007666BD"/>
    <w:rsid w:val="00773CA1"/>
    <w:rsid w:val="0077510B"/>
    <w:rsid w:val="00775D9E"/>
    <w:rsid w:val="00783818"/>
    <w:rsid w:val="00787669"/>
    <w:rsid w:val="007946FD"/>
    <w:rsid w:val="007C60C9"/>
    <w:rsid w:val="007E3E19"/>
    <w:rsid w:val="007E66B0"/>
    <w:rsid w:val="007F00BC"/>
    <w:rsid w:val="007F4DA3"/>
    <w:rsid w:val="008002B5"/>
    <w:rsid w:val="008022BD"/>
    <w:rsid w:val="0080475D"/>
    <w:rsid w:val="00805451"/>
    <w:rsid w:val="008104B5"/>
    <w:rsid w:val="00811E1D"/>
    <w:rsid w:val="00814FAD"/>
    <w:rsid w:val="00816FFB"/>
    <w:rsid w:val="00837AD9"/>
    <w:rsid w:val="008403C7"/>
    <w:rsid w:val="008450D1"/>
    <w:rsid w:val="00850695"/>
    <w:rsid w:val="0086460B"/>
    <w:rsid w:val="0088573D"/>
    <w:rsid w:val="008A102F"/>
    <w:rsid w:val="008B4E12"/>
    <w:rsid w:val="008C3871"/>
    <w:rsid w:val="008C4C7F"/>
    <w:rsid w:val="008C5718"/>
    <w:rsid w:val="008E76AC"/>
    <w:rsid w:val="008F4F49"/>
    <w:rsid w:val="00901009"/>
    <w:rsid w:val="009024EC"/>
    <w:rsid w:val="00913E95"/>
    <w:rsid w:val="00922E76"/>
    <w:rsid w:val="009368B2"/>
    <w:rsid w:val="00947604"/>
    <w:rsid w:val="00975B15"/>
    <w:rsid w:val="00977B2C"/>
    <w:rsid w:val="0098222B"/>
    <w:rsid w:val="0098624A"/>
    <w:rsid w:val="00987781"/>
    <w:rsid w:val="00993328"/>
    <w:rsid w:val="009958D4"/>
    <w:rsid w:val="009A256E"/>
    <w:rsid w:val="009A61BE"/>
    <w:rsid w:val="009A79D9"/>
    <w:rsid w:val="009D252E"/>
    <w:rsid w:val="009D3163"/>
    <w:rsid w:val="009D328B"/>
    <w:rsid w:val="009E225A"/>
    <w:rsid w:val="009F2BA1"/>
    <w:rsid w:val="009F2DC6"/>
    <w:rsid w:val="00A26EC2"/>
    <w:rsid w:val="00A325EE"/>
    <w:rsid w:val="00A449CF"/>
    <w:rsid w:val="00A522F5"/>
    <w:rsid w:val="00A61616"/>
    <w:rsid w:val="00A705CF"/>
    <w:rsid w:val="00A8437D"/>
    <w:rsid w:val="00A84B66"/>
    <w:rsid w:val="00A87393"/>
    <w:rsid w:val="00AB0305"/>
    <w:rsid w:val="00AB608C"/>
    <w:rsid w:val="00AC5B83"/>
    <w:rsid w:val="00AE561B"/>
    <w:rsid w:val="00AE6EB3"/>
    <w:rsid w:val="00AF6108"/>
    <w:rsid w:val="00B02769"/>
    <w:rsid w:val="00B056B8"/>
    <w:rsid w:val="00B16175"/>
    <w:rsid w:val="00B23577"/>
    <w:rsid w:val="00B31D27"/>
    <w:rsid w:val="00B31FC7"/>
    <w:rsid w:val="00B42EB7"/>
    <w:rsid w:val="00B46756"/>
    <w:rsid w:val="00B557E1"/>
    <w:rsid w:val="00B56633"/>
    <w:rsid w:val="00B74CB6"/>
    <w:rsid w:val="00B8019D"/>
    <w:rsid w:val="00B803F5"/>
    <w:rsid w:val="00B915FD"/>
    <w:rsid w:val="00B96B35"/>
    <w:rsid w:val="00BA080F"/>
    <w:rsid w:val="00BA1404"/>
    <w:rsid w:val="00BA5567"/>
    <w:rsid w:val="00BB335E"/>
    <w:rsid w:val="00BC217D"/>
    <w:rsid w:val="00BC529A"/>
    <w:rsid w:val="00BC57C5"/>
    <w:rsid w:val="00BE0C1F"/>
    <w:rsid w:val="00BE14F5"/>
    <w:rsid w:val="00C04B36"/>
    <w:rsid w:val="00C060CA"/>
    <w:rsid w:val="00C0649B"/>
    <w:rsid w:val="00C11B5E"/>
    <w:rsid w:val="00C14414"/>
    <w:rsid w:val="00C17A16"/>
    <w:rsid w:val="00C36ACC"/>
    <w:rsid w:val="00C403E9"/>
    <w:rsid w:val="00C40FD3"/>
    <w:rsid w:val="00C43F44"/>
    <w:rsid w:val="00C46EDD"/>
    <w:rsid w:val="00C5666D"/>
    <w:rsid w:val="00C65616"/>
    <w:rsid w:val="00C66676"/>
    <w:rsid w:val="00C7238C"/>
    <w:rsid w:val="00C90461"/>
    <w:rsid w:val="00C93F77"/>
    <w:rsid w:val="00C960EF"/>
    <w:rsid w:val="00C96994"/>
    <w:rsid w:val="00CA1E00"/>
    <w:rsid w:val="00CA2117"/>
    <w:rsid w:val="00CA3F5E"/>
    <w:rsid w:val="00CB172B"/>
    <w:rsid w:val="00CB4798"/>
    <w:rsid w:val="00CC40C9"/>
    <w:rsid w:val="00CC4DB9"/>
    <w:rsid w:val="00CD119A"/>
    <w:rsid w:val="00CF2FB9"/>
    <w:rsid w:val="00D01622"/>
    <w:rsid w:val="00D35D87"/>
    <w:rsid w:val="00D45A84"/>
    <w:rsid w:val="00D47DB0"/>
    <w:rsid w:val="00D50C7D"/>
    <w:rsid w:val="00D50FEF"/>
    <w:rsid w:val="00D56089"/>
    <w:rsid w:val="00D75784"/>
    <w:rsid w:val="00D942C4"/>
    <w:rsid w:val="00D966BD"/>
    <w:rsid w:val="00D97104"/>
    <w:rsid w:val="00DA45E9"/>
    <w:rsid w:val="00DB619B"/>
    <w:rsid w:val="00DC063A"/>
    <w:rsid w:val="00DC24A5"/>
    <w:rsid w:val="00DC270D"/>
    <w:rsid w:val="00DC51D6"/>
    <w:rsid w:val="00DD726C"/>
    <w:rsid w:val="00DE3EC2"/>
    <w:rsid w:val="00DF15BE"/>
    <w:rsid w:val="00DF6237"/>
    <w:rsid w:val="00DF6FFC"/>
    <w:rsid w:val="00E0024E"/>
    <w:rsid w:val="00E07714"/>
    <w:rsid w:val="00E127E2"/>
    <w:rsid w:val="00E275F5"/>
    <w:rsid w:val="00E36E08"/>
    <w:rsid w:val="00E47D52"/>
    <w:rsid w:val="00E654C2"/>
    <w:rsid w:val="00E70608"/>
    <w:rsid w:val="00E713E0"/>
    <w:rsid w:val="00E75BB9"/>
    <w:rsid w:val="00E767B8"/>
    <w:rsid w:val="00E83ED7"/>
    <w:rsid w:val="00EB19D5"/>
    <w:rsid w:val="00EB5BE7"/>
    <w:rsid w:val="00EC219C"/>
    <w:rsid w:val="00EC4507"/>
    <w:rsid w:val="00EC6C19"/>
    <w:rsid w:val="00ED2606"/>
    <w:rsid w:val="00ED26F7"/>
    <w:rsid w:val="00ED2F66"/>
    <w:rsid w:val="00ED33F9"/>
    <w:rsid w:val="00ED3C9F"/>
    <w:rsid w:val="00ED7F94"/>
    <w:rsid w:val="00ED7F96"/>
    <w:rsid w:val="00EE1333"/>
    <w:rsid w:val="00EE5BE9"/>
    <w:rsid w:val="00F14500"/>
    <w:rsid w:val="00F267C2"/>
    <w:rsid w:val="00F3354E"/>
    <w:rsid w:val="00F36942"/>
    <w:rsid w:val="00F41CA4"/>
    <w:rsid w:val="00F45E47"/>
    <w:rsid w:val="00F527BD"/>
    <w:rsid w:val="00F556F3"/>
    <w:rsid w:val="00F60227"/>
    <w:rsid w:val="00F729DD"/>
    <w:rsid w:val="00F85D4E"/>
    <w:rsid w:val="00F90096"/>
    <w:rsid w:val="00F90478"/>
    <w:rsid w:val="00F9232D"/>
    <w:rsid w:val="00F9436B"/>
    <w:rsid w:val="00FB16AD"/>
    <w:rsid w:val="00FB4010"/>
    <w:rsid w:val="00FB49B5"/>
    <w:rsid w:val="00FB74B3"/>
    <w:rsid w:val="00FC3133"/>
    <w:rsid w:val="00FC5BD6"/>
    <w:rsid w:val="00FE0CF7"/>
    <w:rsid w:val="00FE3AA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1A19F2"/>
  <w15:chartTrackingRefBased/>
  <w15:docId w15:val="{D93A3E2A-FC71-4AB7-B626-9B61D2C8F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9D252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D252E"/>
    <w:rPr>
      <w:rFonts w:ascii="Segoe UI" w:hAnsi="Segoe UI" w:cs="Segoe UI"/>
      <w:sz w:val="18"/>
      <w:szCs w:val="18"/>
    </w:rPr>
  </w:style>
  <w:style w:type="paragraph" w:styleId="Opisslike">
    <w:name w:val="caption"/>
    <w:basedOn w:val="Normal"/>
    <w:next w:val="Normal"/>
    <w:uiPriority w:val="35"/>
    <w:unhideWhenUsed/>
    <w:qFormat/>
    <w:rsid w:val="00837AD9"/>
    <w:pPr>
      <w:spacing w:after="200" w:line="240" w:lineRule="auto"/>
    </w:pPr>
    <w:rPr>
      <w:i/>
      <w:iCs/>
      <w:color w:val="44546A" w:themeColor="text2"/>
      <w:sz w:val="18"/>
      <w:szCs w:val="18"/>
    </w:rPr>
  </w:style>
  <w:style w:type="paragraph" w:styleId="Zaglavlje">
    <w:name w:val="header"/>
    <w:basedOn w:val="Normal"/>
    <w:link w:val="ZaglavljeChar"/>
    <w:uiPriority w:val="99"/>
    <w:unhideWhenUsed/>
    <w:rsid w:val="008B4E1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B4E12"/>
  </w:style>
  <w:style w:type="paragraph" w:styleId="Podnoje">
    <w:name w:val="footer"/>
    <w:basedOn w:val="Normal"/>
    <w:link w:val="PodnojeChar"/>
    <w:uiPriority w:val="99"/>
    <w:unhideWhenUsed/>
    <w:rsid w:val="008B4E1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B4E12"/>
  </w:style>
  <w:style w:type="character" w:styleId="Referencakomentara">
    <w:name w:val="annotation reference"/>
    <w:basedOn w:val="Zadanifontodlomka"/>
    <w:uiPriority w:val="99"/>
    <w:semiHidden/>
    <w:unhideWhenUsed/>
    <w:rsid w:val="00E767B8"/>
    <w:rPr>
      <w:sz w:val="16"/>
      <w:szCs w:val="16"/>
    </w:rPr>
  </w:style>
  <w:style w:type="paragraph" w:styleId="Tekstkomentara">
    <w:name w:val="annotation text"/>
    <w:basedOn w:val="Normal"/>
    <w:link w:val="TekstkomentaraChar"/>
    <w:uiPriority w:val="99"/>
    <w:semiHidden/>
    <w:unhideWhenUsed/>
    <w:rsid w:val="00E767B8"/>
    <w:pPr>
      <w:spacing w:after="0" w:line="240" w:lineRule="auto"/>
      <w:jc w:val="both"/>
    </w:pPr>
    <w:rPr>
      <w:rFonts w:ascii="Times New Roman" w:eastAsia="Times New Roman" w:hAnsi="Times New Roman" w:cs="Times New Roman"/>
      <w:sz w:val="20"/>
      <w:szCs w:val="20"/>
      <w:lang w:eastAsia="hr-HR"/>
    </w:rPr>
  </w:style>
  <w:style w:type="character" w:customStyle="1" w:styleId="TekstkomentaraChar">
    <w:name w:val="Tekst komentara Char"/>
    <w:basedOn w:val="Zadanifontodlomka"/>
    <w:link w:val="Tekstkomentara"/>
    <w:uiPriority w:val="99"/>
    <w:semiHidden/>
    <w:rsid w:val="00E767B8"/>
    <w:rPr>
      <w:rFonts w:ascii="Times New Roman" w:eastAsia="Times New Roman" w:hAnsi="Times New Roman" w:cs="Times New Roman"/>
      <w:sz w:val="20"/>
      <w:szCs w:val="20"/>
      <w:lang w:eastAsia="hr-HR"/>
    </w:rPr>
  </w:style>
  <w:style w:type="paragraph" w:styleId="Tekstfusnote">
    <w:name w:val="footnote text"/>
    <w:basedOn w:val="Normal"/>
    <w:link w:val="TekstfusnoteChar"/>
    <w:uiPriority w:val="99"/>
    <w:semiHidden/>
    <w:unhideWhenUsed/>
    <w:rsid w:val="00ED33F9"/>
    <w:pPr>
      <w:spacing w:after="0" w:line="240" w:lineRule="auto"/>
    </w:pPr>
    <w:rPr>
      <w:sz w:val="20"/>
      <w:szCs w:val="20"/>
    </w:rPr>
  </w:style>
  <w:style w:type="character" w:customStyle="1" w:styleId="TekstfusnoteChar">
    <w:name w:val="Tekst fusnote Char"/>
    <w:basedOn w:val="Zadanifontodlomka"/>
    <w:link w:val="Tekstfusnote"/>
    <w:uiPriority w:val="99"/>
    <w:semiHidden/>
    <w:rsid w:val="00ED33F9"/>
    <w:rPr>
      <w:sz w:val="20"/>
      <w:szCs w:val="20"/>
    </w:rPr>
  </w:style>
  <w:style w:type="character" w:styleId="Referencafusnote">
    <w:name w:val="footnote reference"/>
    <w:basedOn w:val="Zadanifontodlomka"/>
    <w:uiPriority w:val="99"/>
    <w:semiHidden/>
    <w:unhideWhenUsed/>
    <w:rsid w:val="00ED33F9"/>
    <w:rPr>
      <w:vertAlign w:val="superscript"/>
    </w:rPr>
  </w:style>
  <w:style w:type="paragraph" w:styleId="Predmetkomentara">
    <w:name w:val="annotation subject"/>
    <w:basedOn w:val="Tekstkomentara"/>
    <w:next w:val="Tekstkomentara"/>
    <w:link w:val="PredmetkomentaraChar"/>
    <w:uiPriority w:val="99"/>
    <w:semiHidden/>
    <w:unhideWhenUsed/>
    <w:rsid w:val="00A84B66"/>
    <w:pPr>
      <w:spacing w:after="160"/>
      <w:jc w:val="left"/>
    </w:pPr>
    <w:rPr>
      <w:rFonts w:asciiTheme="minorHAnsi" w:eastAsiaTheme="minorHAnsi" w:hAnsiTheme="minorHAnsi" w:cstheme="minorBidi"/>
      <w:b/>
      <w:bCs/>
      <w:lang w:eastAsia="en-US"/>
    </w:rPr>
  </w:style>
  <w:style w:type="character" w:customStyle="1" w:styleId="PredmetkomentaraChar">
    <w:name w:val="Predmet komentara Char"/>
    <w:basedOn w:val="TekstkomentaraChar"/>
    <w:link w:val="Predmetkomentara"/>
    <w:uiPriority w:val="99"/>
    <w:semiHidden/>
    <w:rsid w:val="00A84B66"/>
    <w:rPr>
      <w:rFonts w:ascii="Times New Roman" w:eastAsia="Times New Roman" w:hAnsi="Times New Roman" w:cs="Times New Roman"/>
      <w:b/>
      <w:bCs/>
      <w:sz w:val="20"/>
      <w:szCs w:val="20"/>
      <w:lang w:eastAsia="hr-HR"/>
    </w:rPr>
  </w:style>
  <w:style w:type="paragraph" w:styleId="Odlomakpopisa">
    <w:name w:val="List Paragraph"/>
    <w:basedOn w:val="Normal"/>
    <w:uiPriority w:val="34"/>
    <w:qFormat/>
    <w:rsid w:val="00124A70"/>
    <w:pPr>
      <w:ind w:left="720"/>
      <w:contextualSpacing/>
    </w:pPr>
  </w:style>
  <w:style w:type="paragraph" w:customStyle="1" w:styleId="xmsonormal">
    <w:name w:val="x_msonormal"/>
    <w:basedOn w:val="Normal"/>
    <w:rsid w:val="00B915FD"/>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59948">
      <w:bodyDiv w:val="1"/>
      <w:marLeft w:val="0"/>
      <w:marRight w:val="0"/>
      <w:marTop w:val="0"/>
      <w:marBottom w:val="0"/>
      <w:divBdr>
        <w:top w:val="none" w:sz="0" w:space="0" w:color="auto"/>
        <w:left w:val="none" w:sz="0" w:space="0" w:color="auto"/>
        <w:bottom w:val="none" w:sz="0" w:space="0" w:color="auto"/>
        <w:right w:val="none" w:sz="0" w:space="0" w:color="auto"/>
      </w:divBdr>
    </w:div>
    <w:div w:id="152991369">
      <w:bodyDiv w:val="1"/>
      <w:marLeft w:val="0"/>
      <w:marRight w:val="0"/>
      <w:marTop w:val="0"/>
      <w:marBottom w:val="0"/>
      <w:divBdr>
        <w:top w:val="none" w:sz="0" w:space="0" w:color="auto"/>
        <w:left w:val="none" w:sz="0" w:space="0" w:color="auto"/>
        <w:bottom w:val="none" w:sz="0" w:space="0" w:color="auto"/>
        <w:right w:val="none" w:sz="0" w:space="0" w:color="auto"/>
      </w:divBdr>
    </w:div>
    <w:div w:id="331294923">
      <w:bodyDiv w:val="1"/>
      <w:marLeft w:val="0"/>
      <w:marRight w:val="0"/>
      <w:marTop w:val="0"/>
      <w:marBottom w:val="0"/>
      <w:divBdr>
        <w:top w:val="none" w:sz="0" w:space="0" w:color="auto"/>
        <w:left w:val="none" w:sz="0" w:space="0" w:color="auto"/>
        <w:bottom w:val="none" w:sz="0" w:space="0" w:color="auto"/>
        <w:right w:val="none" w:sz="0" w:space="0" w:color="auto"/>
      </w:divBdr>
    </w:div>
    <w:div w:id="588080941">
      <w:bodyDiv w:val="1"/>
      <w:marLeft w:val="0"/>
      <w:marRight w:val="0"/>
      <w:marTop w:val="0"/>
      <w:marBottom w:val="0"/>
      <w:divBdr>
        <w:top w:val="none" w:sz="0" w:space="0" w:color="auto"/>
        <w:left w:val="none" w:sz="0" w:space="0" w:color="auto"/>
        <w:bottom w:val="none" w:sz="0" w:space="0" w:color="auto"/>
        <w:right w:val="none" w:sz="0" w:space="0" w:color="auto"/>
      </w:divBdr>
    </w:div>
    <w:div w:id="606695476">
      <w:bodyDiv w:val="1"/>
      <w:marLeft w:val="0"/>
      <w:marRight w:val="0"/>
      <w:marTop w:val="0"/>
      <w:marBottom w:val="0"/>
      <w:divBdr>
        <w:top w:val="none" w:sz="0" w:space="0" w:color="auto"/>
        <w:left w:val="none" w:sz="0" w:space="0" w:color="auto"/>
        <w:bottom w:val="none" w:sz="0" w:space="0" w:color="auto"/>
        <w:right w:val="none" w:sz="0" w:space="0" w:color="auto"/>
      </w:divBdr>
      <w:divsChild>
        <w:div w:id="1267806529">
          <w:marLeft w:val="0"/>
          <w:marRight w:val="0"/>
          <w:marTop w:val="0"/>
          <w:marBottom w:val="0"/>
          <w:divBdr>
            <w:top w:val="none" w:sz="0" w:space="0" w:color="auto"/>
            <w:left w:val="none" w:sz="0" w:space="0" w:color="auto"/>
            <w:bottom w:val="none" w:sz="0" w:space="0" w:color="auto"/>
            <w:right w:val="none" w:sz="0" w:space="0" w:color="auto"/>
          </w:divBdr>
          <w:divsChild>
            <w:div w:id="1225605370">
              <w:marLeft w:val="0"/>
              <w:marRight w:val="0"/>
              <w:marTop w:val="0"/>
              <w:marBottom w:val="0"/>
              <w:divBdr>
                <w:top w:val="none" w:sz="0" w:space="0" w:color="auto"/>
                <w:left w:val="none" w:sz="0" w:space="0" w:color="auto"/>
                <w:bottom w:val="none" w:sz="0" w:space="0" w:color="auto"/>
                <w:right w:val="none" w:sz="0" w:space="0" w:color="auto"/>
              </w:divBdr>
              <w:divsChild>
                <w:div w:id="145352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488979">
      <w:bodyDiv w:val="1"/>
      <w:marLeft w:val="0"/>
      <w:marRight w:val="0"/>
      <w:marTop w:val="0"/>
      <w:marBottom w:val="0"/>
      <w:divBdr>
        <w:top w:val="none" w:sz="0" w:space="0" w:color="auto"/>
        <w:left w:val="none" w:sz="0" w:space="0" w:color="auto"/>
        <w:bottom w:val="none" w:sz="0" w:space="0" w:color="auto"/>
        <w:right w:val="none" w:sz="0" w:space="0" w:color="auto"/>
      </w:divBdr>
    </w:div>
    <w:div w:id="898638495">
      <w:bodyDiv w:val="1"/>
      <w:marLeft w:val="0"/>
      <w:marRight w:val="0"/>
      <w:marTop w:val="0"/>
      <w:marBottom w:val="0"/>
      <w:divBdr>
        <w:top w:val="none" w:sz="0" w:space="0" w:color="auto"/>
        <w:left w:val="none" w:sz="0" w:space="0" w:color="auto"/>
        <w:bottom w:val="none" w:sz="0" w:space="0" w:color="auto"/>
        <w:right w:val="none" w:sz="0" w:space="0" w:color="auto"/>
      </w:divBdr>
    </w:div>
    <w:div w:id="1079864746">
      <w:bodyDiv w:val="1"/>
      <w:marLeft w:val="0"/>
      <w:marRight w:val="0"/>
      <w:marTop w:val="0"/>
      <w:marBottom w:val="0"/>
      <w:divBdr>
        <w:top w:val="none" w:sz="0" w:space="0" w:color="auto"/>
        <w:left w:val="none" w:sz="0" w:space="0" w:color="auto"/>
        <w:bottom w:val="none" w:sz="0" w:space="0" w:color="auto"/>
        <w:right w:val="none" w:sz="0" w:space="0" w:color="auto"/>
      </w:divBdr>
    </w:div>
    <w:div w:id="1379159931">
      <w:bodyDiv w:val="1"/>
      <w:marLeft w:val="0"/>
      <w:marRight w:val="0"/>
      <w:marTop w:val="0"/>
      <w:marBottom w:val="0"/>
      <w:divBdr>
        <w:top w:val="none" w:sz="0" w:space="0" w:color="auto"/>
        <w:left w:val="none" w:sz="0" w:space="0" w:color="auto"/>
        <w:bottom w:val="none" w:sz="0" w:space="0" w:color="auto"/>
        <w:right w:val="none" w:sz="0" w:space="0" w:color="auto"/>
      </w:divBdr>
    </w:div>
    <w:div w:id="1485776795">
      <w:bodyDiv w:val="1"/>
      <w:marLeft w:val="0"/>
      <w:marRight w:val="0"/>
      <w:marTop w:val="0"/>
      <w:marBottom w:val="0"/>
      <w:divBdr>
        <w:top w:val="none" w:sz="0" w:space="0" w:color="auto"/>
        <w:left w:val="none" w:sz="0" w:space="0" w:color="auto"/>
        <w:bottom w:val="none" w:sz="0" w:space="0" w:color="auto"/>
        <w:right w:val="none" w:sz="0" w:space="0" w:color="auto"/>
      </w:divBdr>
    </w:div>
    <w:div w:id="1595632165">
      <w:bodyDiv w:val="1"/>
      <w:marLeft w:val="0"/>
      <w:marRight w:val="0"/>
      <w:marTop w:val="0"/>
      <w:marBottom w:val="0"/>
      <w:divBdr>
        <w:top w:val="none" w:sz="0" w:space="0" w:color="auto"/>
        <w:left w:val="none" w:sz="0" w:space="0" w:color="auto"/>
        <w:bottom w:val="none" w:sz="0" w:space="0" w:color="auto"/>
        <w:right w:val="none" w:sz="0" w:space="0" w:color="auto"/>
      </w:divBdr>
    </w:div>
    <w:div w:id="1708798272">
      <w:bodyDiv w:val="1"/>
      <w:marLeft w:val="0"/>
      <w:marRight w:val="0"/>
      <w:marTop w:val="0"/>
      <w:marBottom w:val="0"/>
      <w:divBdr>
        <w:top w:val="none" w:sz="0" w:space="0" w:color="auto"/>
        <w:left w:val="none" w:sz="0" w:space="0" w:color="auto"/>
        <w:bottom w:val="none" w:sz="0" w:space="0" w:color="auto"/>
        <w:right w:val="none" w:sz="0" w:space="0" w:color="auto"/>
      </w:divBdr>
    </w:div>
    <w:div w:id="1805461903">
      <w:bodyDiv w:val="1"/>
      <w:marLeft w:val="0"/>
      <w:marRight w:val="0"/>
      <w:marTop w:val="0"/>
      <w:marBottom w:val="0"/>
      <w:divBdr>
        <w:top w:val="none" w:sz="0" w:space="0" w:color="auto"/>
        <w:left w:val="none" w:sz="0" w:space="0" w:color="auto"/>
        <w:bottom w:val="none" w:sz="0" w:space="0" w:color="auto"/>
        <w:right w:val="none" w:sz="0" w:space="0" w:color="auto"/>
      </w:divBdr>
    </w:div>
    <w:div w:id="19729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A5974-C45A-4BC2-9DF5-B43025949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2171</Words>
  <Characters>12379</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Ankica Kovačić</dc:creator>
  <cp:keywords/>
  <dc:description/>
  <cp:lastModifiedBy>Ana Bakiš</cp:lastModifiedBy>
  <cp:revision>2</cp:revision>
  <cp:lastPrinted>2026-04-29T12:49:00Z</cp:lastPrinted>
  <dcterms:created xsi:type="dcterms:W3CDTF">2026-04-30T09:56:00Z</dcterms:created>
  <dcterms:modified xsi:type="dcterms:W3CDTF">2026-04-30T09:56:00Z</dcterms:modified>
</cp:coreProperties>
</file>